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30" w:rsidRDefault="00025230" w:rsidP="001D6084">
      <w:pPr>
        <w:pStyle w:val="Heading1"/>
        <w:spacing w:line="360" w:lineRule="auto"/>
        <w:jc w:val="both"/>
      </w:pPr>
      <w:r>
        <w:t xml:space="preserve"> Formalization of Standards, Automation, Robots, and IT Governance</w:t>
      </w:r>
      <w:r w:rsidR="00D37BCF">
        <w:rPr>
          <w:rStyle w:val="FootnoteReference"/>
        </w:rPr>
        <w:footnoteReference w:id="1"/>
      </w:r>
    </w:p>
    <w:p w:rsidR="00025230" w:rsidRDefault="00025230" w:rsidP="001D6084">
      <w:pPr>
        <w:spacing w:line="360" w:lineRule="auto"/>
        <w:jc w:val="both"/>
      </w:pPr>
      <w:r>
        <w:t>Miklos A. Vasarhelyi</w:t>
      </w:r>
    </w:p>
    <w:p w:rsidR="00025230" w:rsidRDefault="00025230" w:rsidP="001D6084">
      <w:pPr>
        <w:pStyle w:val="Heading2"/>
        <w:spacing w:line="360" w:lineRule="auto"/>
        <w:jc w:val="both"/>
      </w:pPr>
      <w:r>
        <w:t>Introduction</w:t>
      </w:r>
    </w:p>
    <w:p w:rsidR="003C2736" w:rsidRDefault="003C2736" w:rsidP="001D6084">
      <w:pPr>
        <w:autoSpaceDE w:val="0"/>
        <w:autoSpaceDN w:val="0"/>
        <w:adjustRightInd w:val="0"/>
        <w:spacing w:line="360" w:lineRule="auto"/>
        <w:ind w:firstLine="720"/>
        <w:jc w:val="both"/>
        <w:rPr>
          <w:rFonts w:cs="Arial"/>
          <w:color w:val="000000"/>
        </w:rPr>
      </w:pPr>
      <w:r>
        <w:rPr>
          <w:rFonts w:cs="Arial"/>
          <w:color w:val="000000"/>
        </w:rPr>
        <w:t>The Real Time Economy has created a world of automated transaction sensing, integrated information systems, big data, and thousands of real time applications running throughout the multiple process environments of modern business systems.  Accounting and audit procedures are progressively more and more anachronistic (Titera, 2013) in view of the different environments and new data quality requirements. The opaque nature of modern systems with user-configurable controls, where operations and control are not directly observed</w:t>
      </w:r>
      <w:r w:rsidR="005338D4">
        <w:rPr>
          <w:rFonts w:cs="Arial"/>
          <w:color w:val="000000"/>
        </w:rPr>
        <w:t xml:space="preserve"> </w:t>
      </w:r>
      <w:r>
        <w:rPr>
          <w:rFonts w:cs="Arial"/>
          <w:color w:val="000000"/>
        </w:rPr>
        <w:t>and codified rigidly</w:t>
      </w:r>
      <w:r w:rsidR="00040754">
        <w:rPr>
          <w:rFonts w:cs="Arial"/>
          <w:color w:val="000000"/>
        </w:rPr>
        <w:t>, requires</w:t>
      </w:r>
      <w:r>
        <w:rPr>
          <w:rFonts w:cs="Arial"/>
          <w:color w:val="000000"/>
        </w:rPr>
        <w:t xml:space="preserve"> rethinking of the measurement and assurance processes. New approaches are needed for the assurance and data quality objectives of organizations. These new approaches to measurement and assurance have to span the areas of audit automation, continuous monitoring, and continuous assurance as well as have an overlay of solid governance. Without a responsible and coherent governance structure, even solid systems adapted or reengineered for modern circumstances are useless.</w:t>
      </w:r>
    </w:p>
    <w:p w:rsidR="003C2736" w:rsidRDefault="003C2736" w:rsidP="001D6084">
      <w:pPr>
        <w:spacing w:line="360" w:lineRule="auto"/>
        <w:ind w:firstLine="720"/>
        <w:jc w:val="both"/>
        <w:rPr>
          <w:rFonts w:cstheme="minorBidi"/>
        </w:rPr>
      </w:pPr>
      <w:r>
        <w:t xml:space="preserve">This issue contains sixteen articles including this editor’s note, the special section on IT governance, and an article from practice. Eight articles in this issue focus on the topic of IT Governance, which is defined as </w:t>
      </w:r>
      <w:r w:rsidR="00040754">
        <w:rPr>
          <w:i/>
        </w:rPr>
        <w:t>“the</w:t>
      </w:r>
      <w:r>
        <w:rPr>
          <w:i/>
        </w:rPr>
        <w:t xml:space="preserve"> process by which organizations seek to ensure that their investment in information technology facilitates strategic and tactical goals. IT governance is a subset of broader corporate governance, focusing on the role played by information technology within the organization. </w:t>
      </w:r>
      <w:r>
        <w:t xml:space="preserve"> </w:t>
      </w:r>
      <w:r w:rsidR="008E7F60">
        <w:t>“(</w:t>
      </w:r>
      <w:r>
        <w:t>Debreceny</w:t>
      </w:r>
      <w:r w:rsidR="005E5929">
        <w:t xml:space="preserve"> &amp; Gray</w:t>
      </w:r>
      <w:r>
        <w:t xml:space="preserve">, 2013), and </w:t>
      </w:r>
      <w:r w:rsidR="006E165C">
        <w:rPr>
          <w:rFonts w:hint="eastAsia"/>
          <w:lang w:eastAsia="zh-CN"/>
        </w:rPr>
        <w:t xml:space="preserve">is </w:t>
      </w:r>
      <w:r>
        <w:t xml:space="preserve">rated as one of the principal concerns in the now very popular and large governance literature. Governance methods encompass a mix of processes, organizational structures, and rules that cope with the information asymmetry created by the current form of public </w:t>
      </w:r>
      <w:r w:rsidR="005338D4">
        <w:t xml:space="preserve">capital </w:t>
      </w:r>
      <w:r>
        <w:t>organizations, although they are also relevant to other entities like private and governmental enterprises.</w:t>
      </w:r>
    </w:p>
    <w:p w:rsidR="003C2736" w:rsidRDefault="003C2736" w:rsidP="005338D4">
      <w:pPr>
        <w:spacing w:line="360" w:lineRule="auto"/>
        <w:ind w:firstLine="720"/>
        <w:jc w:val="both"/>
      </w:pPr>
      <w:r>
        <w:t xml:space="preserve">This introductory article reviews the content of this edition, and attempts to set the stage for a discussion of future issues in the evolving technological environment and how auditing needs to change. </w:t>
      </w:r>
      <w:r>
        <w:lastRenderedPageBreak/>
        <w:t>Furthermore, it offers insights concerning what research must be performed to guide this evolution. Keys to these considerations are issues of formalization, automation, and robots.</w:t>
      </w:r>
    </w:p>
    <w:p w:rsidR="003C2736" w:rsidRDefault="003C2736" w:rsidP="001D6084">
      <w:pPr>
        <w:spacing w:line="360" w:lineRule="auto"/>
        <w:jc w:val="both"/>
      </w:pPr>
    </w:p>
    <w:p w:rsidR="003C2736" w:rsidRDefault="003C2736" w:rsidP="00712C9E">
      <w:pPr>
        <w:spacing w:line="360" w:lineRule="auto"/>
        <w:ind w:firstLine="720"/>
        <w:jc w:val="both"/>
      </w:pPr>
      <w:r>
        <w:t>The next section will describe the non-governance articles in this issue, and the following section will discuss research implications of the quest for accounting/audit automation.</w:t>
      </w:r>
    </w:p>
    <w:p w:rsidR="00025230" w:rsidRPr="00CD4EA0" w:rsidRDefault="00025230" w:rsidP="001D6084">
      <w:pPr>
        <w:pStyle w:val="Heading2"/>
        <w:spacing w:line="360" w:lineRule="auto"/>
        <w:jc w:val="both"/>
      </w:pPr>
      <w:r>
        <w:t>Issue content</w:t>
      </w:r>
    </w:p>
    <w:p w:rsidR="003C2736" w:rsidRPr="004666E7" w:rsidRDefault="003C2736" w:rsidP="001D6084">
      <w:pPr>
        <w:spacing w:after="0" w:line="360" w:lineRule="auto"/>
        <w:ind w:firstLine="720"/>
        <w:jc w:val="both"/>
      </w:pPr>
      <w:r w:rsidRPr="004666E7">
        <w:t>The current issue includes a special section on IT governance edited by Professor Roger Debreceny</w:t>
      </w:r>
      <w:r>
        <w:t>,</w:t>
      </w:r>
      <w:r w:rsidRPr="004666E7">
        <w:t xml:space="preserve"> which is introduced in this issue by an additional “invited” editor’s note (Debreceny, 2013) and encompasses seven articles. Other articles, also edited by Prof. Debreceny, may appear in later </w:t>
      </w:r>
      <w:r>
        <w:t>editions,</w:t>
      </w:r>
      <w:r w:rsidRPr="004666E7">
        <w:t xml:space="preserve"> as they are still going through the editorial process. The ensuing issues will also have special sections on privacy (edited by Prof. Marilyn Prosch), enterprise ontologies (edited by Prof. Guido Geerts), virtual worlds (edited by Prof. William Dilla), social networks (edited by Prof.</w:t>
      </w:r>
      <w:bookmarkStart w:id="0" w:name="OLE_LINK1"/>
      <w:r w:rsidRPr="004666E7">
        <w:t xml:space="preserve"> Roger Debreceny</w:t>
      </w:r>
      <w:bookmarkEnd w:id="0"/>
      <w:r w:rsidRPr="004666E7">
        <w:t xml:space="preserve">) and </w:t>
      </w:r>
      <w:r>
        <w:t xml:space="preserve">the </w:t>
      </w:r>
      <w:r w:rsidRPr="004666E7">
        <w:t xml:space="preserve">smart audit. </w:t>
      </w:r>
    </w:p>
    <w:p w:rsidR="003C2736" w:rsidRPr="00F8008C" w:rsidRDefault="003C2736" w:rsidP="001D6084">
      <w:pPr>
        <w:spacing w:after="0" w:line="360" w:lineRule="auto"/>
        <w:ind w:firstLine="720"/>
        <w:jc w:val="both"/>
      </w:pPr>
      <w:r w:rsidRPr="00FE0FF9">
        <w:t xml:space="preserve">Cao, Nicolaou, </w:t>
      </w:r>
      <w:r>
        <w:t xml:space="preserve">and </w:t>
      </w:r>
      <w:r w:rsidRPr="00FE0FF9">
        <w:t>Bhattacharya</w:t>
      </w:r>
      <w:r w:rsidR="00415437">
        <w:rPr>
          <w:rFonts w:hint="eastAsia"/>
          <w:lang w:eastAsia="zh-CN"/>
        </w:rPr>
        <w:t xml:space="preserve"> (2013)</w:t>
      </w:r>
      <w:r>
        <w:t xml:space="preserve"> examine post-implementation enhancements in enterprise resource planning systems (ERPS). </w:t>
      </w:r>
      <w:r w:rsidRPr="00F8008C">
        <w:t xml:space="preserve">Past information systems research on real options suggests that large-scale information technology projects, such as ERPS, create various future options for system reconfiguration and extension. Management would decide whether to exercise an option according to future conditions. From the real options lens, </w:t>
      </w:r>
      <w:r w:rsidR="00C1510A">
        <w:t xml:space="preserve">the authors </w:t>
      </w:r>
      <w:r w:rsidRPr="00F8008C">
        <w:t xml:space="preserve">conduct a longitudinal examination of the determinants of post-implementation enhancement decisions for firms that have previously reported ERPS adoptions. </w:t>
      </w:r>
      <w:r>
        <w:t>They</w:t>
      </w:r>
      <w:r w:rsidRPr="00F8008C">
        <w:t xml:space="preserve"> find that proactive</w:t>
      </w:r>
      <w:r>
        <w:t xml:space="preserve"> </w:t>
      </w:r>
      <w:r w:rsidRPr="00F8008C">
        <w:t xml:space="preserve">ERPS adopters that employ performance-enhancing post-implementation review (PIR) practices and obtain favorable performance outcomes are more likely to make system enhancements. Overall, </w:t>
      </w:r>
      <w:r>
        <w:t>their</w:t>
      </w:r>
      <w:r w:rsidRPr="00F8008C">
        <w:t xml:space="preserve"> findings are consistent with the logic of real options, suggesting that managers make heuristic evaluations for general conditions that allow for future contingent investments.</w:t>
      </w:r>
    </w:p>
    <w:p w:rsidR="003C2736" w:rsidRDefault="003C2736" w:rsidP="001D6084">
      <w:pPr>
        <w:spacing w:after="0" w:line="360" w:lineRule="auto"/>
        <w:ind w:firstLine="720"/>
        <w:jc w:val="both"/>
      </w:pPr>
      <w:r>
        <w:t>Davidson, Desai, and Gerard</w:t>
      </w:r>
      <w:r w:rsidR="0015270A">
        <w:rPr>
          <w:rFonts w:hint="eastAsia"/>
          <w:lang w:eastAsia="zh-CN"/>
        </w:rPr>
        <w:t xml:space="preserve"> (2013)</w:t>
      </w:r>
      <w:r>
        <w:t xml:space="preserve"> study the Effect of Continuous Auditing on the Relationship between Internal Audit Sourcing and the External Auditor’s Reliance on the Internal Audit Function. Prior research indicates that external auditors are willing to rely to a greater extent on the work of the internal audit (IA) function when it has been outsourced, or co-sourced, as opposed to maintained in-house. They address, in an experimental setting, the extent to which this relationship between IA sourcing and external auditor reliance is moderated by the use of continuous auditing. Results indicate </w:t>
      </w:r>
      <w:r>
        <w:lastRenderedPageBreak/>
        <w:t>that, when the IA function uses periodic auditing, external auditors rely more on an outsourced function than an in-house operation. Conversely, when the IA function uses continuous auditing, external auditors exhibit similar reliance on in-house and outsourced operations. The prior literature suggests that outsourcing an IA function can lead to higher levels of external auditor reliance, and, consequently, lower external audit costs. The results here suggest that maintaining the IA function in-house and employing continuous auditing may lead to similar external audit effects.</w:t>
      </w:r>
    </w:p>
    <w:p w:rsidR="003C2736" w:rsidRPr="00F8008C" w:rsidRDefault="003C2736" w:rsidP="001D6084">
      <w:pPr>
        <w:widowControl w:val="0"/>
        <w:autoSpaceDE w:val="0"/>
        <w:autoSpaceDN w:val="0"/>
        <w:adjustRightInd w:val="0"/>
        <w:spacing w:line="360" w:lineRule="auto"/>
        <w:jc w:val="both"/>
      </w:pPr>
      <w:r>
        <w:tab/>
        <w:t xml:space="preserve">In the </w:t>
      </w:r>
      <w:r w:rsidR="00ED0D9D">
        <w:rPr>
          <w:rFonts w:hint="eastAsia"/>
          <w:lang w:eastAsia="zh-CN"/>
        </w:rPr>
        <w:t>X</w:t>
      </w:r>
      <w:r>
        <w:t xml:space="preserve">BRL Mandate article, Du, </w:t>
      </w:r>
      <w:r w:rsidRPr="00FE0FF9">
        <w:t xml:space="preserve">Vasarhelyi, </w:t>
      </w:r>
      <w:r>
        <w:t xml:space="preserve">and </w:t>
      </w:r>
      <w:r w:rsidRPr="00FE0FF9">
        <w:t>Zheng</w:t>
      </w:r>
      <w:r w:rsidR="00DB57C2">
        <w:rPr>
          <w:rFonts w:hint="eastAsia"/>
          <w:lang w:eastAsia="zh-CN"/>
        </w:rPr>
        <w:t xml:space="preserve"> (2013)</w:t>
      </w:r>
      <w:r>
        <w:t xml:space="preserve"> examine XBRL f</w:t>
      </w:r>
      <w:r w:rsidRPr="00FE0FF9">
        <w:t xml:space="preserve">iling </w:t>
      </w:r>
      <w:r>
        <w:t>e</w:t>
      </w:r>
      <w:r w:rsidRPr="00FE0FF9">
        <w:t>rrors</w:t>
      </w:r>
      <w:r>
        <w:t>. Since the mandate by the U.S. Securities and Exchange Commission (SEC) to begin interactive data reporting in June 2009, more than 4,000 filing errors have been identified. The researchers examine the overall changing pattern of the errors to understand whether the large number of mistakes may hamper the transition to interactive data reporting. Using a sample of 4,532 filings that contain 4,260 errors, the authors document that the XBRL filers are facing a significant learning curve. Specifically, the researchers find that the number of errors per filing is significantly decreasing in the number of filings, suggesting that the filing company or agents progressively learn from their experiences</w:t>
      </w:r>
      <w:r w:rsidR="00584079">
        <w:t xml:space="preserve"> such that</w:t>
      </w:r>
      <w:r>
        <w:t xml:space="preserve"> future filings show improvement. This provides evidence to encourage the regulatory body, filers, and XBRL technology-supporting community to embrace the new disclosure requirement in financial reporting. The significantly decreased error pattern also helps address the information users’ concerns regarding the data quality of XBRL filings.</w:t>
      </w:r>
    </w:p>
    <w:p w:rsidR="003C2736" w:rsidRDefault="003C2736" w:rsidP="001D6084">
      <w:pPr>
        <w:spacing w:after="0" w:line="360" w:lineRule="auto"/>
        <w:ind w:firstLine="720"/>
        <w:jc w:val="both"/>
      </w:pPr>
      <w:r>
        <w:t>Gailly and Geerts</w:t>
      </w:r>
      <w:r w:rsidR="00E528B8">
        <w:rPr>
          <w:rFonts w:hint="eastAsia"/>
          <w:lang w:eastAsia="zh-CN"/>
        </w:rPr>
        <w:t xml:space="preserve"> (2013)</w:t>
      </w:r>
      <w:r>
        <w:t xml:space="preserve"> examine ontology-driven business rule specifications. </w:t>
      </w:r>
      <w:r w:rsidRPr="00F8008C">
        <w:t xml:space="preserve">Discovering business rules is a complex task for which many approaches have been proposed, including analysis, extraction from code, and data mining. In this paper, a novel approach is presented in which business rules for an enterprise model are generated based </w:t>
      </w:r>
      <w:r>
        <w:t>up</w:t>
      </w:r>
      <w:r w:rsidRPr="00F8008C">
        <w:t xml:space="preserve">on the semantics of domain ontology. Starting from an enterprise model for which the business rules need to be defined, the approach consists of four steps: (1) classification of the enterprise model in terms of the domain ontology (semantic annotation), (2) matching of the enterprise model constructs with ontology-based Enterprise Model Configurations (EMCs), (3) determination of Business Rule Patterns (BRPs) associated with the EMCs, and (4) use of the semantic annotations to instantiate the business rule patterns; that is, to specify the actual business rules. The success of this approach depends on two factors: (1) the existence of </w:t>
      </w:r>
      <w:r w:rsidR="00C87344">
        <w:t>a semantically</w:t>
      </w:r>
      <w:r w:rsidRPr="00F8008C">
        <w:t xml:space="preserve"> rich domain ontology, and (2) the strength of the knowledge base consisting of EMC-BRP associations. The focus of this paper is on defining and illustrating the new business rule discovery approach: Ontology- Driven Business Rule Specification (ODBRS). The domain of interest is enterprise systems, and an extended version of the Resource-Event-Agent Enterprise Ontology (REA-EO) is used as the domain </w:t>
      </w:r>
      <w:r w:rsidRPr="00F8008C">
        <w:lastRenderedPageBreak/>
        <w:t xml:space="preserve">ontology. A small set of EMC-BRP associations—i.e., an example knowledge base—is developed for illustration purposes. </w:t>
      </w:r>
      <w:r w:rsidR="00584079">
        <w:t>In addition, t</w:t>
      </w:r>
      <w:r w:rsidR="00584079" w:rsidRPr="00F8008C">
        <w:t xml:space="preserve">he </w:t>
      </w:r>
      <w:r w:rsidRPr="00F8008C">
        <w:t>new approach is demonstrated with an example.</w:t>
      </w:r>
    </w:p>
    <w:p w:rsidR="003C2736" w:rsidRPr="00F8008C" w:rsidRDefault="003C2736" w:rsidP="001D6084">
      <w:pPr>
        <w:spacing w:after="0" w:line="360" w:lineRule="auto"/>
        <w:ind w:firstLine="720"/>
        <w:jc w:val="both"/>
      </w:pPr>
    </w:p>
    <w:p w:rsidR="003C2736" w:rsidRDefault="003C2736" w:rsidP="001D6084">
      <w:pPr>
        <w:spacing w:after="0" w:line="360" w:lineRule="auto"/>
        <w:ind w:firstLine="720"/>
        <w:jc w:val="both"/>
      </w:pPr>
      <w:r>
        <w:t>Teqarden, Schaupp, and Dull,</w:t>
      </w:r>
      <w:r w:rsidR="00003CA7">
        <w:rPr>
          <w:rFonts w:hint="eastAsia"/>
          <w:lang w:eastAsia="zh-CN"/>
        </w:rPr>
        <w:t xml:space="preserve"> (2013)</w:t>
      </w:r>
      <w:r>
        <w:t xml:space="preserve"> Identify ontological modifications to the resource-event-agent (REA) enterprise ontology using a Bunge-Wand-Weber (BWW) ontological evaluation approach. A BWW ontological evaluation emphasizes two criteria (completeness and clarity) and two independent mappings (representation and interpretation). The results of the evaluation confirm that the majority of the REA constructs correspond with a subset of the BWW constructs. Based on the results of this study, there are recommended modifications to the REA enterprise ontology including extensions associated with state, event, and system related constructs, as well as other clarifications.</w:t>
      </w:r>
    </w:p>
    <w:p w:rsidR="003C2736" w:rsidRPr="00F8008C" w:rsidRDefault="003C2736" w:rsidP="001D6084">
      <w:pPr>
        <w:spacing w:after="0" w:line="360" w:lineRule="auto"/>
        <w:ind w:firstLine="720"/>
        <w:jc w:val="both"/>
      </w:pPr>
    </w:p>
    <w:p w:rsidR="003C2736" w:rsidRPr="000661C6" w:rsidRDefault="003C2736" w:rsidP="001D6084">
      <w:pPr>
        <w:spacing w:line="360" w:lineRule="auto"/>
        <w:jc w:val="both"/>
      </w:pPr>
      <w:r>
        <w:tab/>
        <w:t>In the “Practice Articles” section, Titera</w:t>
      </w:r>
      <w:r w:rsidR="00CB4AC5">
        <w:rPr>
          <w:rFonts w:hint="eastAsia"/>
          <w:lang w:eastAsia="zh-CN"/>
        </w:rPr>
        <w:t xml:space="preserve"> (2013)</w:t>
      </w:r>
      <w:r>
        <w:t xml:space="preserve">, from the practitioner point of view, examines the anachronism of current </w:t>
      </w:r>
      <w:r w:rsidRPr="000661C6">
        <w:t>Audit Standards</w:t>
      </w:r>
      <w:r>
        <w:t xml:space="preserve"> and the enablement of audit data analysis. </w:t>
      </w:r>
      <w:r w:rsidR="003B05B9">
        <w:t>The article</w:t>
      </w:r>
      <w:r>
        <w:t xml:space="preserve"> highlight</w:t>
      </w:r>
      <w:r w:rsidRPr="000661C6">
        <w:t xml:space="preserve">s the emerging role of data analysis on the financial statement audit and </w:t>
      </w:r>
      <w:r>
        <w:t xml:space="preserve">its </w:t>
      </w:r>
      <w:r w:rsidRPr="000661C6">
        <w:t>value throughout the audit</w:t>
      </w:r>
      <w:r>
        <w:t xml:space="preserve"> process, particularly in providing </w:t>
      </w:r>
      <w:r w:rsidR="003B05B9">
        <w:t>audit evidence.  In addition, it</w:t>
      </w:r>
      <w:r>
        <w:t xml:space="preserve"> raises the issue of </w:t>
      </w:r>
      <w:r w:rsidRPr="000661C6">
        <w:t xml:space="preserve">needed revisions to the Audit Standards, whether for public or private company audits, and </w:t>
      </w:r>
      <w:r>
        <w:t>illustrates how</w:t>
      </w:r>
      <w:r w:rsidRPr="000661C6">
        <w:t xml:space="preserve"> </w:t>
      </w:r>
      <w:r>
        <w:t xml:space="preserve">certain of </w:t>
      </w:r>
      <w:r w:rsidRPr="000661C6">
        <w:t>the</w:t>
      </w:r>
      <w:r>
        <w:t xml:space="preserve"> current Audit</w:t>
      </w:r>
      <w:r w:rsidRPr="000661C6">
        <w:t xml:space="preserve"> </w:t>
      </w:r>
      <w:r>
        <w:t>S</w:t>
      </w:r>
      <w:r w:rsidRPr="000661C6">
        <w:t xml:space="preserve">tandards inhibit the external auditors’ use of </w:t>
      </w:r>
      <w:r>
        <w:t>enhanced data analysis and c</w:t>
      </w:r>
      <w:r w:rsidRPr="000661C6">
        <w:t xml:space="preserve">ontinuous </w:t>
      </w:r>
      <w:r>
        <w:t>a</w:t>
      </w:r>
      <w:r w:rsidRPr="000661C6">
        <w:t xml:space="preserve">uditing techniques. While </w:t>
      </w:r>
      <w:r>
        <w:t>this whitepaper</w:t>
      </w:r>
      <w:r w:rsidRPr="000661C6">
        <w:t xml:space="preserve"> </w:t>
      </w:r>
      <w:r>
        <w:t>i</w:t>
      </w:r>
      <w:r w:rsidRPr="000661C6">
        <w:t xml:space="preserve">dentifies a few </w:t>
      </w:r>
      <w:r w:rsidRPr="003F5161">
        <w:t>audit standards</w:t>
      </w:r>
      <w:r>
        <w:t xml:space="preserve"> that could be revised in light of current technological capabilities</w:t>
      </w:r>
      <w:r w:rsidRPr="000661C6">
        <w:t xml:space="preserve">, it does not purport to address all needed revisions.  Rather it </w:t>
      </w:r>
      <w:r>
        <w:t xml:space="preserve">recommends that </w:t>
      </w:r>
      <w:r w:rsidRPr="000661C6">
        <w:t xml:space="preserve">a more in-depth analysis be undertaken to develop </w:t>
      </w:r>
      <w:r>
        <w:t xml:space="preserve">needed guidance, as well as </w:t>
      </w:r>
      <w:r w:rsidRPr="000661C6">
        <w:t>a</w:t>
      </w:r>
      <w:r>
        <w:t xml:space="preserve"> list of recommended </w:t>
      </w:r>
      <w:r w:rsidRPr="000661C6">
        <w:t>changes</w:t>
      </w:r>
      <w:r>
        <w:t xml:space="preserve"> to the standards</w:t>
      </w:r>
      <w:r w:rsidRPr="000661C6">
        <w:t xml:space="preserve">.  </w:t>
      </w:r>
    </w:p>
    <w:p w:rsidR="00025230" w:rsidRPr="009562C0" w:rsidRDefault="00025230" w:rsidP="001D6084">
      <w:pPr>
        <w:pStyle w:val="Heading2"/>
        <w:spacing w:line="360" w:lineRule="auto"/>
        <w:jc w:val="both"/>
      </w:pPr>
      <w:r>
        <w:t>Evolving Business Measurement and Data Quality (Assurance)</w:t>
      </w:r>
    </w:p>
    <w:p w:rsidR="003C2736" w:rsidRDefault="003C2736" w:rsidP="001D6084">
      <w:pPr>
        <w:spacing w:line="360" w:lineRule="auto"/>
        <w:jc w:val="both"/>
      </w:pPr>
      <w:r>
        <w:t xml:space="preserve">Both business measurement (accounting) and the assurance of reporting </w:t>
      </w:r>
      <w:r w:rsidR="00A45CF1">
        <w:t xml:space="preserve">/ information </w:t>
      </w:r>
      <w:r>
        <w:t xml:space="preserve">quality (auditing) are becoming progressively automated. These now socio-technical systems are increasingly incorporating automation driven by a set of different forces. </w:t>
      </w:r>
    </w:p>
    <w:p w:rsidR="003C2736" w:rsidRDefault="003C2736" w:rsidP="001D6084">
      <w:pPr>
        <w:pStyle w:val="ListParagraph"/>
        <w:numPr>
          <w:ilvl w:val="0"/>
          <w:numId w:val="4"/>
        </w:numPr>
        <w:spacing w:line="360" w:lineRule="auto"/>
        <w:jc w:val="both"/>
      </w:pPr>
      <w:r>
        <w:t>The traditional accounting process, incorporating the double entry paradigm, is</w:t>
      </w:r>
      <w:r w:rsidR="003B05B9">
        <w:t xml:space="preserve"> </w:t>
      </w:r>
      <w:r>
        <w:t xml:space="preserve">manually oriented, and, consequently, </w:t>
      </w:r>
      <w:r w:rsidR="009427B9">
        <w:t xml:space="preserve">is </w:t>
      </w:r>
      <w:r>
        <w:t>prone to a high level of errors and extremely labor intensive.  Furthermore, modern business, with a large number of transactions and non-financial processes, would be strangled if processes remained manual. The history of computerization of business processes signals the major initial driver of automation to be labor replacement. The automation of processes has brought many collateral benefits, such as</w:t>
      </w:r>
      <w:r w:rsidR="009427B9">
        <w:t>:</w:t>
      </w:r>
    </w:p>
    <w:p w:rsidR="003C2736" w:rsidRDefault="003C2736" w:rsidP="001D6084">
      <w:pPr>
        <w:pStyle w:val="ListParagraph"/>
        <w:numPr>
          <w:ilvl w:val="1"/>
          <w:numId w:val="4"/>
        </w:numPr>
        <w:spacing w:line="360" w:lineRule="auto"/>
        <w:jc w:val="both"/>
      </w:pPr>
      <w:r>
        <w:lastRenderedPageBreak/>
        <w:t xml:space="preserve"> substantive improvement in data quality (consistency)</w:t>
      </w:r>
      <w:r w:rsidR="009427B9">
        <w:t>,</w:t>
      </w:r>
      <w:r>
        <w:t xml:space="preserve"> and </w:t>
      </w:r>
    </w:p>
    <w:p w:rsidR="003C2736" w:rsidRDefault="003C2736" w:rsidP="001D6084">
      <w:pPr>
        <w:pStyle w:val="ListParagraph"/>
        <w:numPr>
          <w:ilvl w:val="1"/>
          <w:numId w:val="4"/>
        </w:numPr>
        <w:spacing w:line="360" w:lineRule="auto"/>
        <w:jc w:val="both"/>
      </w:pPr>
      <w:r>
        <w:t>the emergence of “reports” with very low marginal cost of creation</w:t>
      </w:r>
    </w:p>
    <w:p w:rsidR="003C2736" w:rsidRDefault="003C2736" w:rsidP="001D6084">
      <w:pPr>
        <w:pStyle w:val="ListParagraph"/>
        <w:numPr>
          <w:ilvl w:val="0"/>
          <w:numId w:val="4"/>
        </w:numPr>
        <w:spacing w:line="360" w:lineRule="auto"/>
        <w:jc w:val="both"/>
      </w:pPr>
      <w:r>
        <w:t xml:space="preserve">Computerization of processes has not been restricted to accounting systems, but evolved to impact many other </w:t>
      </w:r>
      <w:r w:rsidR="009427B9">
        <w:t>areas</w:t>
      </w:r>
      <w:r>
        <w:t>. Traditional computer systems were “file oriented”</w:t>
      </w:r>
      <w:r w:rsidR="009427B9">
        <w:t xml:space="preserve"> (</w:t>
      </w:r>
      <w:r>
        <w:t>Nolan, 1973</w:t>
      </w:r>
      <w:r w:rsidR="009427B9">
        <w:t xml:space="preserve">), </w:t>
      </w:r>
      <w:r>
        <w:t>whereby each process had its independent implementation causing substantive data inconsistency and redundancy.</w:t>
      </w:r>
    </w:p>
    <w:p w:rsidR="003C2736" w:rsidRDefault="003C2736" w:rsidP="001D6084">
      <w:pPr>
        <w:pStyle w:val="ListParagraph"/>
        <w:numPr>
          <w:ilvl w:val="1"/>
          <w:numId w:val="4"/>
        </w:numPr>
        <w:spacing w:line="360" w:lineRule="auto"/>
        <w:jc w:val="both"/>
      </w:pPr>
      <w:r>
        <w:t>Although ERPs have been fully implemented in business, the “file oriented”/ separate process view still permeates accounting and audit. The logical interconnections between the production world and the accounting world (</w:t>
      </w:r>
      <w:r w:rsidR="00A45CF1">
        <w:t>Vasarhelyi et al, 2012a</w:t>
      </w:r>
      <w:r w:rsidR="00712C9E">
        <w:t>; Alles et al., 2008</w:t>
      </w:r>
      <w:r>
        <w:t>) have not been explored or incorporated into practice.</w:t>
      </w:r>
    </w:p>
    <w:p w:rsidR="003C2736" w:rsidRDefault="003C2736" w:rsidP="001D6084">
      <w:pPr>
        <w:pStyle w:val="ListParagraph"/>
        <w:numPr>
          <w:ilvl w:val="1"/>
          <w:numId w:val="4"/>
        </w:numPr>
        <w:spacing w:line="360" w:lineRule="auto"/>
        <w:jc w:val="both"/>
      </w:pPr>
      <w:r>
        <w:t>The links between manufacturing, inventory purchase, marketing, etc. and the associated financial measurements have not been incorporated into the financial model</w:t>
      </w:r>
    </w:p>
    <w:p w:rsidR="003C2736" w:rsidRDefault="003C2736" w:rsidP="001D6084">
      <w:pPr>
        <w:pStyle w:val="ListParagraph"/>
        <w:numPr>
          <w:ilvl w:val="1"/>
          <w:numId w:val="4"/>
        </w:numPr>
        <w:spacing w:line="360" w:lineRule="auto"/>
        <w:jc w:val="both"/>
      </w:pPr>
      <w:r>
        <w:t>These links have not been explored in the audit model as sugge</w:t>
      </w:r>
      <w:r w:rsidR="004E612A">
        <w:t>sted by Kogan et al. (</w:t>
      </w:r>
      <w:r w:rsidR="0077524F">
        <w:t>2013b</w:t>
      </w:r>
      <w:r>
        <w:t>)</w:t>
      </w:r>
    </w:p>
    <w:p w:rsidR="003C2736" w:rsidRDefault="003C2736" w:rsidP="001D6084">
      <w:pPr>
        <w:pStyle w:val="ListParagraph"/>
        <w:numPr>
          <w:ilvl w:val="0"/>
          <w:numId w:val="4"/>
        </w:numPr>
        <w:spacing w:line="360" w:lineRule="auto"/>
        <w:jc w:val="both"/>
      </w:pPr>
      <w:r>
        <w:t xml:space="preserve">The inherent opacity of machine-based processes can be substantially eased by investment in computer-based mechanisms to create transparency. The operational costs of data manipulation and storage are now marginal, although the development costs of these mechanisms is still high. The </w:t>
      </w:r>
      <w:r w:rsidR="009427B9">
        <w:t xml:space="preserve">net </w:t>
      </w:r>
      <w:r>
        <w:t xml:space="preserve">benefits of opacity </w:t>
      </w:r>
      <w:r w:rsidR="009427B9">
        <w:t xml:space="preserve">reduction </w:t>
      </w:r>
      <w:r>
        <w:t xml:space="preserve">(internal and external) do not substantively drive their </w:t>
      </w:r>
      <w:r w:rsidR="00497AFF">
        <w:rPr>
          <w:lang w:eastAsia="zh-CN"/>
        </w:rPr>
        <w:t>progress</w:t>
      </w:r>
      <w:r>
        <w:t>.</w:t>
      </w:r>
      <w:r w:rsidR="004E612A">
        <w:t xml:space="preserve"> </w:t>
      </w:r>
      <w:r w:rsidR="009427B9">
        <w:t>O</w:t>
      </w:r>
      <w:r w:rsidR="004E612A">
        <w:t>rganizations have historically been resistant to reveal business information as the modern organization</w:t>
      </w:r>
      <w:r w:rsidR="009427B9">
        <w:t>al</w:t>
      </w:r>
      <w:r w:rsidR="004E612A">
        <w:t xml:space="preserve"> form motivates agents to restrict information </w:t>
      </w:r>
      <w:r w:rsidR="009427B9">
        <w:t>flow</w:t>
      </w:r>
      <w:r w:rsidR="004E612A">
        <w:t>.</w:t>
      </w:r>
    </w:p>
    <w:p w:rsidR="003C2736" w:rsidRDefault="003C2736" w:rsidP="001D6084">
      <w:pPr>
        <w:pStyle w:val="ListParagraph"/>
        <w:numPr>
          <w:ilvl w:val="1"/>
          <w:numId w:val="4"/>
        </w:numPr>
        <w:spacing w:line="360" w:lineRule="auto"/>
        <w:jc w:val="both"/>
      </w:pPr>
      <w:r>
        <w:t>The reporting schemata is highly asymmetric with internal information overwhelming external information, and this fails to create the inter-process connections mentioned above</w:t>
      </w:r>
    </w:p>
    <w:p w:rsidR="003C2736" w:rsidRDefault="003C2736" w:rsidP="001D6084">
      <w:pPr>
        <w:pStyle w:val="ListParagraph"/>
        <w:numPr>
          <w:ilvl w:val="1"/>
          <w:numId w:val="4"/>
        </w:numPr>
        <w:spacing w:line="360" w:lineRule="auto"/>
        <w:jc w:val="both"/>
      </w:pPr>
      <w:r>
        <w:t>The assurance process, although using some of the large internal information that exists, also does not make these inter-process connections</w:t>
      </w:r>
    </w:p>
    <w:p w:rsidR="00025230" w:rsidRDefault="00112575" w:rsidP="001D6084">
      <w:pPr>
        <w:spacing w:line="360" w:lineRule="auto"/>
        <w:jc w:val="both"/>
      </w:pPr>
      <w:r>
        <w:rPr>
          <w:noProof/>
        </w:rPr>
        <w:lastRenderedPageBreak/>
        <w:drawing>
          <wp:inline distT="0" distB="0" distL="0" distR="0" wp14:anchorId="5B891EEE" wp14:editId="3674728B">
            <wp:extent cx="5715000" cy="4286250"/>
            <wp:effectExtent l="133350" t="133350" r="114300" b="114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w="123825" cmpd="sng">
                      <a:solidFill>
                        <a:srgbClr val="4F81BD"/>
                      </a:solidFill>
                      <a:miter lim="800000"/>
                      <a:headEnd/>
                      <a:tailEnd/>
                    </a:ln>
                    <a:effectLst/>
                  </pic:spPr>
                </pic:pic>
              </a:graphicData>
            </a:graphic>
          </wp:inline>
        </w:drawing>
      </w:r>
    </w:p>
    <w:p w:rsidR="00025230" w:rsidRDefault="00025230" w:rsidP="001D6084">
      <w:pPr>
        <w:pStyle w:val="Caption"/>
        <w:spacing w:line="360" w:lineRule="auto"/>
        <w:jc w:val="both"/>
      </w:pPr>
      <w:bookmarkStart w:id="1" w:name="_Ref352129315"/>
      <w:r>
        <w:t xml:space="preserve">Figure </w:t>
      </w:r>
      <w:r w:rsidR="00BD2BCD">
        <w:fldChar w:fldCharType="begin"/>
      </w:r>
      <w:r w:rsidR="00BD2BCD">
        <w:instrText xml:space="preserve"> SEQ Figure \* ARABIC </w:instrText>
      </w:r>
      <w:r w:rsidR="00BD2BCD">
        <w:fldChar w:fldCharType="separate"/>
      </w:r>
      <w:r w:rsidR="00C92099">
        <w:rPr>
          <w:noProof/>
        </w:rPr>
        <w:t>1</w:t>
      </w:r>
      <w:r w:rsidR="00BD2BCD">
        <w:rPr>
          <w:noProof/>
        </w:rPr>
        <w:fldChar w:fldCharType="end"/>
      </w:r>
      <w:bookmarkEnd w:id="1"/>
      <w:r>
        <w:t>: A larger focus for reporting and assurance</w:t>
      </w:r>
    </w:p>
    <w:p w:rsidR="00025230" w:rsidRDefault="003C2736" w:rsidP="001D6084">
      <w:pPr>
        <w:spacing w:line="360" w:lineRule="auto"/>
        <w:jc w:val="both"/>
      </w:pPr>
      <w:r>
        <w:fldChar w:fldCharType="begin"/>
      </w:r>
      <w:r>
        <w:instrText xml:space="preserve"> REF _Ref352129315 \h </w:instrText>
      </w:r>
      <w:r w:rsidR="001D6084">
        <w:instrText xml:space="preserve"> \* MERGEFORMAT </w:instrText>
      </w:r>
      <w:r>
        <w:fldChar w:fldCharType="separate"/>
      </w:r>
      <w:r w:rsidR="00C92099">
        <w:t xml:space="preserve">Figure </w:t>
      </w:r>
      <w:r w:rsidR="00C92099">
        <w:rPr>
          <w:noProof/>
        </w:rPr>
        <w:t>1</w:t>
      </w:r>
      <w:r>
        <w:fldChar w:fldCharType="end"/>
      </w:r>
      <w:r>
        <w:t xml:space="preserve"> illustrates a wider view of the reporting and assurance processes that places some of the above discussion into context. Further discussion is needed of the emerging role of automation in these financial processes, in particular, the cooperation of man and machine (Vasarhelyi, </w:t>
      </w:r>
      <w:r w:rsidR="004E612A">
        <w:t>1973</w:t>
      </w:r>
      <w:r>
        <w:t xml:space="preserve">). Parasuraman et al. (2000) examine levels of automation in the context of human versus machine </w:t>
      </w:r>
      <w:r w:rsidR="005A063D">
        <w:t xml:space="preserve">activities </w:t>
      </w:r>
      <w:r w:rsidR="005B017C">
        <w:t>-</w:t>
      </w:r>
      <w:r>
        <w:t>)</w:t>
      </w:r>
      <w:r w:rsidR="00025230">
        <w:t xml:space="preserve"> and the degree that automation takes over the entire</w:t>
      </w:r>
      <w:r w:rsidR="00AD6789">
        <w:t xml:space="preserve"> process. The original Parasuram</w:t>
      </w:r>
      <w:r w:rsidR="00025230">
        <w:t>an et al (</w:t>
      </w:r>
      <w:r w:rsidR="005B017C">
        <w:t>2000</w:t>
      </w:r>
      <w:r w:rsidR="00025230">
        <w:t xml:space="preserve">) table has been enhanced </w:t>
      </w:r>
      <w:r w:rsidR="005B017C">
        <w:t>-by adding an additional</w:t>
      </w:r>
      <w:r w:rsidR="00025230">
        <w:t xml:space="preserve"> column </w:t>
      </w:r>
      <w:r w:rsidR="005B017C">
        <w:t>-</w:t>
      </w:r>
      <w:r w:rsidR="00025230">
        <w:t xml:space="preserve">that hypothetically describes the </w:t>
      </w:r>
      <w:r w:rsidR="005B017C">
        <w:t xml:space="preserve">various </w:t>
      </w:r>
      <w:r w:rsidR="00025230">
        <w:t>level</w:t>
      </w:r>
      <w:r w:rsidR="005B017C">
        <w:t>s</w:t>
      </w:r>
      <w:r w:rsidR="00025230">
        <w:t xml:space="preserve"> of interaction in an audit context.</w:t>
      </w:r>
    </w:p>
    <w:p w:rsidR="00821D26" w:rsidRDefault="00821D26">
      <w:pPr>
        <w:spacing w:after="0" w:line="240" w:lineRule="auto"/>
      </w:pPr>
      <w:r>
        <w:br w:type="page"/>
      </w:r>
    </w:p>
    <w:tbl>
      <w:tblPr>
        <w:tblpPr w:leftFromText="180" w:rightFromText="180" w:vertAnchor="text" w:horzAnchor="margin" w:tblpXSpec="right" w:tblpY="-44"/>
        <w:tblW w:w="103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3"/>
        <w:gridCol w:w="447"/>
        <w:gridCol w:w="3503"/>
        <w:gridCol w:w="129"/>
        <w:gridCol w:w="110"/>
        <w:gridCol w:w="129"/>
        <w:gridCol w:w="5385"/>
      </w:tblGrid>
      <w:tr w:rsidR="00955B79" w:rsidRPr="00525A6C" w:rsidTr="00955B79">
        <w:trPr>
          <w:trHeight w:val="382"/>
        </w:trPr>
        <w:tc>
          <w:tcPr>
            <w:tcW w:w="633" w:type="dxa"/>
            <w:tcBorders>
              <w:top w:val="single" w:sz="4" w:space="0" w:color="auto"/>
            </w:tcBorders>
          </w:tcPr>
          <w:p w:rsidR="005B017C" w:rsidRDefault="005B017C" w:rsidP="005B017C">
            <w:pPr>
              <w:spacing w:after="0" w:line="360" w:lineRule="auto"/>
              <w:jc w:val="both"/>
              <w:rPr>
                <w:color w:val="000000"/>
              </w:rPr>
            </w:pPr>
          </w:p>
        </w:tc>
        <w:tc>
          <w:tcPr>
            <w:tcW w:w="447" w:type="dxa"/>
            <w:tcBorders>
              <w:top w:val="single" w:sz="4" w:space="0" w:color="auto"/>
            </w:tcBorders>
          </w:tcPr>
          <w:p w:rsidR="005B017C" w:rsidRDefault="005B017C" w:rsidP="005B017C">
            <w:pPr>
              <w:spacing w:after="0" w:line="360" w:lineRule="auto"/>
              <w:jc w:val="both"/>
              <w:rPr>
                <w:color w:val="000000"/>
              </w:rPr>
            </w:pPr>
          </w:p>
        </w:tc>
        <w:tc>
          <w:tcPr>
            <w:tcW w:w="3503" w:type="dxa"/>
            <w:tcBorders>
              <w:top w:val="single" w:sz="4" w:space="0" w:color="auto"/>
            </w:tcBorders>
            <w:noWrap/>
            <w:vAlign w:val="bottom"/>
            <w:hideMark/>
          </w:tcPr>
          <w:p w:rsidR="005B017C" w:rsidRPr="00941F83" w:rsidRDefault="005B017C" w:rsidP="005B017C">
            <w:pPr>
              <w:spacing w:after="0" w:line="360" w:lineRule="auto"/>
              <w:ind w:right="613"/>
              <w:jc w:val="both"/>
              <w:rPr>
                <w:b/>
                <w:color w:val="000000"/>
              </w:rPr>
            </w:pPr>
            <w:r w:rsidRPr="00941F83">
              <w:rPr>
                <w:b/>
                <w:color w:val="000000"/>
              </w:rPr>
              <w:t>Man x machine Interaction</w:t>
            </w:r>
          </w:p>
        </w:tc>
        <w:tc>
          <w:tcPr>
            <w:tcW w:w="239" w:type="dxa"/>
            <w:gridSpan w:val="2"/>
            <w:tcBorders>
              <w:top w:val="single" w:sz="4" w:space="0" w:color="auto"/>
            </w:tcBorders>
          </w:tcPr>
          <w:p w:rsidR="005B017C" w:rsidRPr="00941F83" w:rsidRDefault="005B017C" w:rsidP="005B017C">
            <w:pPr>
              <w:spacing w:after="0" w:line="360" w:lineRule="auto"/>
              <w:jc w:val="both"/>
              <w:rPr>
                <w:b/>
                <w:color w:val="000000"/>
              </w:rPr>
            </w:pPr>
          </w:p>
        </w:tc>
        <w:tc>
          <w:tcPr>
            <w:tcW w:w="5514" w:type="dxa"/>
            <w:gridSpan w:val="2"/>
            <w:tcBorders>
              <w:top w:val="single" w:sz="4" w:space="0" w:color="auto"/>
            </w:tcBorders>
          </w:tcPr>
          <w:p w:rsidR="005B017C" w:rsidRPr="00941F83" w:rsidRDefault="005B017C" w:rsidP="005B017C">
            <w:pPr>
              <w:spacing w:after="0" w:line="360" w:lineRule="auto"/>
              <w:ind w:right="-842"/>
              <w:jc w:val="both"/>
              <w:rPr>
                <w:b/>
                <w:color w:val="000000"/>
              </w:rPr>
            </w:pPr>
            <w:r w:rsidRPr="00941F83">
              <w:rPr>
                <w:b/>
                <w:color w:val="000000"/>
              </w:rPr>
              <w:t>Interaction in the audit Context</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Default="005B017C" w:rsidP="005B017C">
            <w:pPr>
              <w:spacing w:after="0" w:line="360" w:lineRule="auto"/>
              <w:jc w:val="both"/>
              <w:rPr>
                <w:color w:val="000000"/>
              </w:rPr>
            </w:pPr>
          </w:p>
        </w:tc>
        <w:tc>
          <w:tcPr>
            <w:tcW w:w="3503" w:type="dxa"/>
            <w:noWrap/>
            <w:vAlign w:val="bottom"/>
            <w:hideMark/>
          </w:tcPr>
          <w:p w:rsidR="005B017C" w:rsidRPr="00941F83" w:rsidRDefault="005B017C" w:rsidP="005B017C">
            <w:pPr>
              <w:spacing w:after="0" w:line="360" w:lineRule="auto"/>
              <w:ind w:right="613"/>
              <w:jc w:val="both"/>
              <w:rPr>
                <w:b/>
                <w:color w:val="000000"/>
              </w:rPr>
            </w:pPr>
          </w:p>
        </w:tc>
        <w:tc>
          <w:tcPr>
            <w:tcW w:w="239" w:type="dxa"/>
            <w:gridSpan w:val="2"/>
          </w:tcPr>
          <w:p w:rsidR="005B017C" w:rsidRPr="00941F83" w:rsidRDefault="005B017C" w:rsidP="005B017C">
            <w:pPr>
              <w:spacing w:after="0" w:line="360" w:lineRule="auto"/>
              <w:jc w:val="both"/>
              <w:rPr>
                <w:b/>
                <w:color w:val="000000"/>
              </w:rPr>
            </w:pPr>
          </w:p>
        </w:tc>
        <w:tc>
          <w:tcPr>
            <w:tcW w:w="5514" w:type="dxa"/>
            <w:gridSpan w:val="2"/>
          </w:tcPr>
          <w:p w:rsidR="005B017C" w:rsidRPr="00941F83" w:rsidRDefault="005B017C" w:rsidP="005B017C">
            <w:pPr>
              <w:spacing w:after="0" w:line="360" w:lineRule="auto"/>
              <w:ind w:right="-842"/>
              <w:jc w:val="both"/>
              <w:rPr>
                <w:b/>
                <w:color w:val="000000"/>
              </w:rPr>
            </w:pPr>
          </w:p>
        </w:tc>
      </w:tr>
      <w:tr w:rsidR="00955B79" w:rsidRPr="00525A6C" w:rsidTr="00955B79">
        <w:trPr>
          <w:trHeight w:val="382"/>
        </w:trPr>
        <w:tc>
          <w:tcPr>
            <w:tcW w:w="633" w:type="dxa"/>
          </w:tcPr>
          <w:p w:rsidR="005B017C" w:rsidRDefault="005B017C" w:rsidP="005B017C">
            <w:pPr>
              <w:spacing w:after="0" w:line="360" w:lineRule="auto"/>
              <w:jc w:val="both"/>
              <w:rPr>
                <w:color w:val="000000"/>
              </w:rPr>
            </w:pPr>
            <w:r>
              <w:rPr>
                <w:color w:val="000000"/>
              </w:rPr>
              <w:t xml:space="preserve">High </w:t>
            </w:r>
          </w:p>
        </w:tc>
        <w:tc>
          <w:tcPr>
            <w:tcW w:w="447" w:type="dxa"/>
          </w:tcPr>
          <w:p w:rsidR="005B017C" w:rsidRPr="00E5370C" w:rsidRDefault="005B017C" w:rsidP="005B017C">
            <w:pPr>
              <w:spacing w:after="0" w:line="360" w:lineRule="auto"/>
              <w:jc w:val="both"/>
              <w:rPr>
                <w:color w:val="000000"/>
              </w:rPr>
            </w:pPr>
            <w:r>
              <w:rPr>
                <w:color w:val="000000"/>
              </w:rPr>
              <w:t>10</w:t>
            </w:r>
          </w:p>
        </w:tc>
        <w:tc>
          <w:tcPr>
            <w:tcW w:w="3503" w:type="dxa"/>
            <w:noWrap/>
            <w:vAlign w:val="bottom"/>
            <w:hideMark/>
          </w:tcPr>
          <w:p w:rsidR="005B017C" w:rsidRPr="00E5370C" w:rsidRDefault="005B017C" w:rsidP="005B017C">
            <w:pPr>
              <w:spacing w:after="0" w:line="360" w:lineRule="auto"/>
              <w:ind w:right="613"/>
              <w:jc w:val="both"/>
              <w:rPr>
                <w:color w:val="000000"/>
              </w:rPr>
            </w:pPr>
            <w:r w:rsidRPr="00E5370C">
              <w:rPr>
                <w:color w:val="000000"/>
              </w:rPr>
              <w:t>the computer decides everything, acts autonomously, ignoring the human.</w:t>
            </w:r>
          </w:p>
        </w:tc>
        <w:tc>
          <w:tcPr>
            <w:tcW w:w="239" w:type="dxa"/>
            <w:gridSpan w:val="2"/>
          </w:tcPr>
          <w:p w:rsidR="005B017C" w:rsidRPr="00E5370C" w:rsidRDefault="005B017C" w:rsidP="005B017C">
            <w:pPr>
              <w:spacing w:after="0" w:line="360" w:lineRule="auto"/>
              <w:jc w:val="both"/>
              <w:rPr>
                <w:color w:val="000000"/>
              </w:rPr>
            </w:pPr>
          </w:p>
        </w:tc>
        <w:tc>
          <w:tcPr>
            <w:tcW w:w="5514" w:type="dxa"/>
            <w:gridSpan w:val="2"/>
          </w:tcPr>
          <w:p w:rsidR="005B017C" w:rsidRDefault="005B017C" w:rsidP="005B017C">
            <w:pPr>
              <w:spacing w:after="0" w:line="360" w:lineRule="auto"/>
              <w:ind w:right="-842"/>
              <w:jc w:val="both"/>
              <w:rPr>
                <w:color w:val="000000"/>
              </w:rPr>
            </w:pPr>
            <w:r>
              <w:rPr>
                <w:color w:val="000000"/>
              </w:rPr>
              <w:t xml:space="preserve">The computer does the entire audit and </w:t>
            </w:r>
          </w:p>
          <w:p w:rsidR="005B017C" w:rsidRPr="00E5370C" w:rsidRDefault="005B017C" w:rsidP="005B017C">
            <w:pPr>
              <w:spacing w:after="0" w:line="360" w:lineRule="auto"/>
              <w:ind w:right="-842"/>
              <w:jc w:val="both"/>
              <w:rPr>
                <w:color w:val="000000"/>
              </w:rPr>
            </w:pPr>
            <w:r>
              <w:rPr>
                <w:color w:val="000000"/>
              </w:rPr>
              <w:t>signs the opinion</w:t>
            </w:r>
            <w:r w:rsidR="00471865">
              <w:rPr>
                <w:color w:val="000000"/>
              </w:rPr>
              <w:t>; no human auditor involvement</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9</w:t>
            </w:r>
          </w:p>
        </w:tc>
        <w:tc>
          <w:tcPr>
            <w:tcW w:w="3503" w:type="dxa"/>
            <w:noWrap/>
            <w:vAlign w:val="bottom"/>
            <w:hideMark/>
          </w:tcPr>
          <w:p w:rsidR="005B017C" w:rsidRPr="00E5370C" w:rsidRDefault="005B017C" w:rsidP="005B017C">
            <w:pPr>
              <w:spacing w:after="0" w:line="360" w:lineRule="auto"/>
              <w:ind w:right="935"/>
              <w:jc w:val="both"/>
              <w:rPr>
                <w:color w:val="000000"/>
              </w:rPr>
            </w:pPr>
            <w:r w:rsidRPr="00E5370C">
              <w:rPr>
                <w:color w:val="000000"/>
              </w:rPr>
              <w:t>informs the human only if it, the computer, decides to</w:t>
            </w:r>
          </w:p>
        </w:tc>
        <w:tc>
          <w:tcPr>
            <w:tcW w:w="239" w:type="dxa"/>
            <w:gridSpan w:val="2"/>
          </w:tcPr>
          <w:p w:rsidR="005B017C" w:rsidRPr="00E5370C" w:rsidRDefault="005B017C" w:rsidP="005B017C">
            <w:pPr>
              <w:spacing w:after="0" w:line="360" w:lineRule="auto"/>
              <w:jc w:val="both"/>
              <w:rPr>
                <w:color w:val="000000"/>
              </w:rPr>
            </w:pPr>
          </w:p>
        </w:tc>
        <w:tc>
          <w:tcPr>
            <w:tcW w:w="5514" w:type="dxa"/>
            <w:gridSpan w:val="2"/>
          </w:tcPr>
          <w:p w:rsidR="005B017C" w:rsidRDefault="005B017C" w:rsidP="005B017C">
            <w:pPr>
              <w:spacing w:after="0" w:line="360" w:lineRule="auto"/>
              <w:ind w:right="-842"/>
              <w:jc w:val="both"/>
              <w:rPr>
                <w:color w:val="000000"/>
              </w:rPr>
            </w:pPr>
            <w:r>
              <w:rPr>
                <w:color w:val="000000"/>
              </w:rPr>
              <w:t>There is selective human monitoring in the audit where</w:t>
            </w:r>
            <w:r w:rsidR="00955B79">
              <w:rPr>
                <w:color w:val="000000"/>
              </w:rPr>
              <w:t>by</w:t>
            </w:r>
            <w:r>
              <w:rPr>
                <w:color w:val="000000"/>
              </w:rPr>
              <w:t xml:space="preserve"> </w:t>
            </w:r>
          </w:p>
          <w:p w:rsidR="005B017C" w:rsidRDefault="005B017C" w:rsidP="005B017C">
            <w:pPr>
              <w:spacing w:after="0" w:line="360" w:lineRule="auto"/>
              <w:ind w:right="-842"/>
              <w:jc w:val="both"/>
              <w:rPr>
                <w:color w:val="000000"/>
              </w:rPr>
            </w:pPr>
            <w:r>
              <w:rPr>
                <w:color w:val="000000"/>
              </w:rPr>
              <w:t xml:space="preserve">automation limits the boundaries of human auditor </w:t>
            </w:r>
          </w:p>
          <w:p w:rsidR="005B017C" w:rsidRPr="00E5370C" w:rsidRDefault="005B017C" w:rsidP="005B017C">
            <w:pPr>
              <w:spacing w:after="0" w:line="360" w:lineRule="auto"/>
              <w:ind w:right="-842"/>
              <w:jc w:val="both"/>
              <w:rPr>
                <w:color w:val="000000"/>
              </w:rPr>
            </w:pPr>
            <w:r>
              <w:rPr>
                <w:color w:val="000000"/>
              </w:rPr>
              <w:t>action</w:t>
            </w:r>
            <w:r w:rsidR="00B64688">
              <w:rPr>
                <w:color w:val="000000"/>
              </w:rPr>
              <w:t>; computer decides when to inform</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8</w:t>
            </w:r>
          </w:p>
        </w:tc>
        <w:tc>
          <w:tcPr>
            <w:tcW w:w="3503" w:type="dxa"/>
            <w:noWrap/>
            <w:vAlign w:val="bottom"/>
            <w:hideMark/>
          </w:tcPr>
          <w:p w:rsidR="005B017C" w:rsidRPr="00E5370C" w:rsidRDefault="005B017C" w:rsidP="005B017C">
            <w:pPr>
              <w:spacing w:after="0" w:line="360" w:lineRule="auto"/>
              <w:ind w:right="162"/>
              <w:jc w:val="both"/>
              <w:rPr>
                <w:color w:val="000000"/>
              </w:rPr>
            </w:pPr>
            <w:r w:rsidRPr="00E5370C">
              <w:rPr>
                <w:color w:val="000000"/>
              </w:rPr>
              <w:t>informs the human only if asked, or</w:t>
            </w:r>
          </w:p>
        </w:tc>
        <w:tc>
          <w:tcPr>
            <w:tcW w:w="239" w:type="dxa"/>
            <w:gridSpan w:val="2"/>
          </w:tcPr>
          <w:p w:rsidR="005B017C" w:rsidRPr="00E5370C" w:rsidRDefault="005B017C" w:rsidP="005B017C">
            <w:pPr>
              <w:spacing w:after="0" w:line="360" w:lineRule="auto"/>
              <w:ind w:right="1886"/>
              <w:jc w:val="both"/>
              <w:rPr>
                <w:color w:val="000000"/>
              </w:rPr>
            </w:pPr>
          </w:p>
        </w:tc>
        <w:tc>
          <w:tcPr>
            <w:tcW w:w="5514" w:type="dxa"/>
            <w:gridSpan w:val="2"/>
          </w:tcPr>
          <w:p w:rsidR="005B017C" w:rsidRDefault="005B017C" w:rsidP="005B017C">
            <w:pPr>
              <w:spacing w:after="0" w:line="360" w:lineRule="auto"/>
              <w:ind w:right="-842"/>
              <w:jc w:val="both"/>
              <w:rPr>
                <w:color w:val="000000"/>
              </w:rPr>
            </w:pPr>
            <w:r>
              <w:rPr>
                <w:color w:val="000000"/>
              </w:rPr>
              <w:t>There is selective human monitoring in the audit where</w:t>
            </w:r>
            <w:r w:rsidR="00955B79">
              <w:rPr>
                <w:color w:val="000000"/>
              </w:rPr>
              <w:t>by</w:t>
            </w:r>
          </w:p>
          <w:p w:rsidR="005B017C" w:rsidRPr="00E5370C" w:rsidRDefault="005B017C" w:rsidP="005B017C">
            <w:pPr>
              <w:spacing w:after="0" w:line="360" w:lineRule="auto"/>
              <w:ind w:right="-842"/>
              <w:jc w:val="both"/>
              <w:rPr>
                <w:color w:val="000000"/>
              </w:rPr>
            </w:pPr>
            <w:r>
              <w:rPr>
                <w:color w:val="000000"/>
              </w:rPr>
              <w:t>human auditor</w:t>
            </w:r>
            <w:r w:rsidR="00B64688">
              <w:rPr>
                <w:color w:val="000000"/>
              </w:rPr>
              <w:t xml:space="preserve"> decides what</w:t>
            </w:r>
            <w:r>
              <w:rPr>
                <w:color w:val="000000"/>
              </w:rPr>
              <w:t xml:space="preserve"> </w:t>
            </w:r>
            <w:r w:rsidR="00471865">
              <w:rPr>
                <w:color w:val="000000"/>
              </w:rPr>
              <w:t xml:space="preserve">elements </w:t>
            </w:r>
            <w:r>
              <w:rPr>
                <w:color w:val="000000"/>
              </w:rPr>
              <w:t>to be informed of</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7</w:t>
            </w:r>
          </w:p>
        </w:tc>
        <w:tc>
          <w:tcPr>
            <w:tcW w:w="3503" w:type="dxa"/>
            <w:noWrap/>
            <w:vAlign w:val="bottom"/>
            <w:hideMark/>
          </w:tcPr>
          <w:p w:rsidR="005B017C" w:rsidRPr="00E5370C" w:rsidRDefault="005B017C" w:rsidP="005B017C">
            <w:pPr>
              <w:spacing w:after="0" w:line="360" w:lineRule="auto"/>
              <w:ind w:right="379"/>
              <w:jc w:val="both"/>
              <w:rPr>
                <w:color w:val="000000"/>
              </w:rPr>
            </w:pPr>
            <w:r w:rsidRPr="00E5370C">
              <w:rPr>
                <w:color w:val="000000"/>
              </w:rPr>
              <w:t>executes automatically, then necessarily informs the human, and</w:t>
            </w:r>
          </w:p>
        </w:tc>
        <w:tc>
          <w:tcPr>
            <w:tcW w:w="239" w:type="dxa"/>
            <w:gridSpan w:val="2"/>
          </w:tcPr>
          <w:p w:rsidR="005B017C" w:rsidRPr="00E5370C" w:rsidRDefault="005B017C" w:rsidP="005B017C">
            <w:pPr>
              <w:spacing w:after="0" w:line="360" w:lineRule="auto"/>
              <w:ind w:right="379"/>
              <w:jc w:val="both"/>
              <w:rPr>
                <w:color w:val="000000"/>
              </w:rPr>
            </w:pPr>
          </w:p>
        </w:tc>
        <w:tc>
          <w:tcPr>
            <w:tcW w:w="5514" w:type="dxa"/>
            <w:gridSpan w:val="2"/>
          </w:tcPr>
          <w:p w:rsidR="005B017C" w:rsidRDefault="00B64688" w:rsidP="005B017C">
            <w:pPr>
              <w:spacing w:after="0" w:line="360" w:lineRule="auto"/>
              <w:ind w:right="-842"/>
              <w:jc w:val="both"/>
              <w:rPr>
                <w:color w:val="000000"/>
              </w:rPr>
            </w:pPr>
            <w:r>
              <w:rPr>
                <w:color w:val="000000"/>
              </w:rPr>
              <w:t>Computer conducts audit, but auditor is provided with all</w:t>
            </w:r>
          </w:p>
          <w:p w:rsidR="00B64688" w:rsidRPr="00E5370C" w:rsidRDefault="00B64688" w:rsidP="005B017C">
            <w:pPr>
              <w:spacing w:after="0" w:line="360" w:lineRule="auto"/>
              <w:ind w:right="-842"/>
              <w:jc w:val="both"/>
              <w:rPr>
                <w:color w:val="000000"/>
              </w:rPr>
            </w:pPr>
            <w:r>
              <w:rPr>
                <w:color w:val="000000"/>
              </w:rPr>
              <w:t>resulting audit information as a</w:t>
            </w:r>
            <w:r w:rsidR="00471865">
              <w:rPr>
                <w:color w:val="000000"/>
              </w:rPr>
              <w:t xml:space="preserve"> default</w:t>
            </w:r>
            <w:r>
              <w:rPr>
                <w:color w:val="000000"/>
              </w:rPr>
              <w:t xml:space="preserve"> rule</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6</w:t>
            </w:r>
          </w:p>
        </w:tc>
        <w:tc>
          <w:tcPr>
            <w:tcW w:w="3503" w:type="dxa"/>
            <w:noWrap/>
            <w:vAlign w:val="bottom"/>
            <w:hideMark/>
          </w:tcPr>
          <w:p w:rsidR="005B017C" w:rsidRPr="00E5370C" w:rsidRDefault="005B017C" w:rsidP="005B017C">
            <w:pPr>
              <w:spacing w:after="0" w:line="360" w:lineRule="auto"/>
              <w:ind w:right="379"/>
              <w:jc w:val="both"/>
              <w:rPr>
                <w:color w:val="000000"/>
              </w:rPr>
            </w:pPr>
            <w:r w:rsidRPr="00E5370C">
              <w:rPr>
                <w:color w:val="000000"/>
              </w:rPr>
              <w:t>allows the human a restricted time to veto before automatic execution, or</w:t>
            </w:r>
          </w:p>
        </w:tc>
        <w:tc>
          <w:tcPr>
            <w:tcW w:w="239" w:type="dxa"/>
            <w:gridSpan w:val="2"/>
          </w:tcPr>
          <w:p w:rsidR="005B017C" w:rsidRPr="00E5370C" w:rsidRDefault="005B017C" w:rsidP="005B017C">
            <w:pPr>
              <w:spacing w:after="0" w:line="360" w:lineRule="auto"/>
              <w:ind w:right="379"/>
              <w:jc w:val="both"/>
              <w:rPr>
                <w:color w:val="000000"/>
              </w:rPr>
            </w:pPr>
          </w:p>
        </w:tc>
        <w:tc>
          <w:tcPr>
            <w:tcW w:w="5514" w:type="dxa"/>
            <w:gridSpan w:val="2"/>
          </w:tcPr>
          <w:p w:rsidR="005B017C" w:rsidRDefault="005B017C" w:rsidP="005B017C">
            <w:pPr>
              <w:spacing w:after="0" w:line="360" w:lineRule="auto"/>
              <w:ind w:right="-842"/>
              <w:jc w:val="both"/>
              <w:rPr>
                <w:color w:val="000000"/>
              </w:rPr>
            </w:pPr>
            <w:r>
              <w:rPr>
                <w:color w:val="000000"/>
              </w:rPr>
              <w:t>Automation enabled but subject to selective human</w:t>
            </w:r>
          </w:p>
          <w:p w:rsidR="005B017C" w:rsidRDefault="005B017C" w:rsidP="005B017C">
            <w:pPr>
              <w:spacing w:after="0" w:line="360" w:lineRule="auto"/>
              <w:ind w:right="-842"/>
              <w:jc w:val="both"/>
              <w:rPr>
                <w:color w:val="000000"/>
              </w:rPr>
            </w:pPr>
            <w:r>
              <w:rPr>
                <w:color w:val="000000"/>
              </w:rPr>
              <w:t xml:space="preserve"> </w:t>
            </w:r>
            <w:r w:rsidR="00471865">
              <w:rPr>
                <w:color w:val="000000"/>
              </w:rPr>
              <w:t>i</w:t>
            </w:r>
            <w:r>
              <w:rPr>
                <w:color w:val="000000"/>
              </w:rPr>
              <w:t>ntervention</w:t>
            </w:r>
            <w:r w:rsidR="00955B79">
              <w:rPr>
                <w:color w:val="000000"/>
              </w:rPr>
              <w:t xml:space="preserve">; human auditor has final decision power, but </w:t>
            </w:r>
          </w:p>
          <w:p w:rsidR="00955B79" w:rsidRPr="00E5370C" w:rsidRDefault="00955B79" w:rsidP="005B017C">
            <w:pPr>
              <w:spacing w:after="0" w:line="360" w:lineRule="auto"/>
              <w:ind w:right="-842"/>
              <w:jc w:val="both"/>
              <w:rPr>
                <w:color w:val="000000"/>
              </w:rPr>
            </w:pPr>
            <w:r>
              <w:rPr>
                <w:color w:val="000000"/>
              </w:rPr>
              <w:t>only within a given time window</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5</w:t>
            </w:r>
          </w:p>
        </w:tc>
        <w:tc>
          <w:tcPr>
            <w:tcW w:w="3503" w:type="dxa"/>
            <w:noWrap/>
            <w:vAlign w:val="bottom"/>
            <w:hideMark/>
          </w:tcPr>
          <w:p w:rsidR="005B017C" w:rsidRPr="00E5370C" w:rsidRDefault="005B017C" w:rsidP="005B017C">
            <w:pPr>
              <w:spacing w:after="0" w:line="360" w:lineRule="auto"/>
              <w:ind w:right="379"/>
              <w:jc w:val="both"/>
              <w:rPr>
                <w:color w:val="000000"/>
              </w:rPr>
            </w:pPr>
            <w:r w:rsidRPr="00E5370C">
              <w:rPr>
                <w:color w:val="000000"/>
              </w:rPr>
              <w:t>executes that suggestion if the human approves, or</w:t>
            </w:r>
          </w:p>
        </w:tc>
        <w:tc>
          <w:tcPr>
            <w:tcW w:w="239" w:type="dxa"/>
            <w:gridSpan w:val="2"/>
          </w:tcPr>
          <w:p w:rsidR="005B017C" w:rsidRPr="00E5370C" w:rsidRDefault="005B017C" w:rsidP="005B017C">
            <w:pPr>
              <w:spacing w:after="0" w:line="360" w:lineRule="auto"/>
              <w:ind w:right="379"/>
              <w:jc w:val="both"/>
              <w:rPr>
                <w:color w:val="000000"/>
              </w:rPr>
            </w:pPr>
          </w:p>
        </w:tc>
        <w:tc>
          <w:tcPr>
            <w:tcW w:w="5514" w:type="dxa"/>
            <w:gridSpan w:val="2"/>
          </w:tcPr>
          <w:p w:rsidR="005B017C" w:rsidRDefault="005B017C" w:rsidP="005B017C">
            <w:pPr>
              <w:spacing w:after="0" w:line="360" w:lineRule="auto"/>
              <w:ind w:right="-842"/>
              <w:jc w:val="both"/>
              <w:rPr>
                <w:color w:val="000000"/>
              </w:rPr>
            </w:pPr>
            <w:r>
              <w:rPr>
                <w:color w:val="000000"/>
              </w:rPr>
              <w:t>Human controlled automation</w:t>
            </w:r>
            <w:r w:rsidR="00955B79">
              <w:rPr>
                <w:color w:val="000000"/>
              </w:rPr>
              <w:t xml:space="preserve"> whereby human auditor </w:t>
            </w:r>
          </w:p>
          <w:p w:rsidR="00955B79" w:rsidRPr="00E5370C" w:rsidRDefault="00955B79" w:rsidP="005B017C">
            <w:pPr>
              <w:spacing w:after="0" w:line="360" w:lineRule="auto"/>
              <w:ind w:right="-842"/>
              <w:jc w:val="both"/>
              <w:rPr>
                <w:color w:val="000000"/>
              </w:rPr>
            </w:pPr>
            <w:r>
              <w:rPr>
                <w:color w:val="000000"/>
              </w:rPr>
              <w:t>approves or rejects computer-provided suggestions</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4</w:t>
            </w:r>
          </w:p>
        </w:tc>
        <w:tc>
          <w:tcPr>
            <w:tcW w:w="3632" w:type="dxa"/>
            <w:gridSpan w:val="2"/>
            <w:noWrap/>
            <w:vAlign w:val="bottom"/>
            <w:hideMark/>
          </w:tcPr>
          <w:p w:rsidR="005B017C" w:rsidRDefault="005B017C" w:rsidP="005B017C">
            <w:pPr>
              <w:spacing w:after="0" w:line="360" w:lineRule="auto"/>
              <w:ind w:right="379"/>
              <w:jc w:val="both"/>
              <w:rPr>
                <w:color w:val="000000"/>
              </w:rPr>
            </w:pPr>
            <w:r w:rsidRPr="00E5370C">
              <w:rPr>
                <w:color w:val="000000"/>
              </w:rPr>
              <w:t>suggests one alternative</w:t>
            </w:r>
          </w:p>
          <w:p w:rsidR="00471865" w:rsidRPr="00E5370C" w:rsidRDefault="00471865" w:rsidP="005B017C">
            <w:pPr>
              <w:spacing w:after="0" w:line="360" w:lineRule="auto"/>
              <w:ind w:right="379"/>
              <w:jc w:val="both"/>
              <w:rPr>
                <w:color w:val="000000"/>
              </w:rPr>
            </w:pPr>
          </w:p>
        </w:tc>
        <w:tc>
          <w:tcPr>
            <w:tcW w:w="239" w:type="dxa"/>
            <w:gridSpan w:val="2"/>
          </w:tcPr>
          <w:p w:rsidR="005B017C" w:rsidRPr="00E5370C" w:rsidRDefault="005B017C" w:rsidP="005B017C">
            <w:pPr>
              <w:spacing w:after="0" w:line="360" w:lineRule="auto"/>
              <w:ind w:left="-1742" w:right="-842" w:firstLine="1742"/>
              <w:jc w:val="both"/>
              <w:rPr>
                <w:color w:val="000000"/>
              </w:rPr>
            </w:pPr>
          </w:p>
        </w:tc>
        <w:tc>
          <w:tcPr>
            <w:tcW w:w="5385" w:type="dxa"/>
          </w:tcPr>
          <w:p w:rsidR="005B017C" w:rsidRDefault="005B017C" w:rsidP="005B017C">
            <w:pPr>
              <w:spacing w:after="0" w:line="360" w:lineRule="auto"/>
              <w:ind w:right="-842"/>
              <w:jc w:val="both"/>
              <w:rPr>
                <w:color w:val="000000"/>
              </w:rPr>
            </w:pPr>
            <w:r>
              <w:rPr>
                <w:color w:val="000000"/>
              </w:rPr>
              <w:t>Suggestive model with decision function</w:t>
            </w:r>
            <w:r w:rsidR="00471865">
              <w:rPr>
                <w:color w:val="000000"/>
              </w:rPr>
              <w:t>; Human auditor</w:t>
            </w:r>
          </w:p>
          <w:p w:rsidR="00471865" w:rsidRPr="00E5370C" w:rsidRDefault="00471865" w:rsidP="005B017C">
            <w:pPr>
              <w:spacing w:after="0" w:line="360" w:lineRule="auto"/>
              <w:ind w:right="-842"/>
              <w:jc w:val="both"/>
              <w:rPr>
                <w:color w:val="000000"/>
              </w:rPr>
            </w:pPr>
            <w:r>
              <w:rPr>
                <w:color w:val="000000"/>
              </w:rPr>
              <w:t>maintains control over audit activities</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3</w:t>
            </w:r>
          </w:p>
        </w:tc>
        <w:tc>
          <w:tcPr>
            <w:tcW w:w="3632" w:type="dxa"/>
            <w:gridSpan w:val="2"/>
            <w:noWrap/>
            <w:vAlign w:val="bottom"/>
            <w:hideMark/>
          </w:tcPr>
          <w:p w:rsidR="005B017C" w:rsidRPr="00E5370C" w:rsidRDefault="005B017C" w:rsidP="005B017C">
            <w:pPr>
              <w:spacing w:after="0" w:line="360" w:lineRule="auto"/>
              <w:ind w:right="379"/>
              <w:jc w:val="both"/>
              <w:rPr>
                <w:color w:val="000000"/>
              </w:rPr>
            </w:pPr>
            <w:r w:rsidRPr="00E5370C">
              <w:rPr>
                <w:color w:val="000000"/>
              </w:rPr>
              <w:t>narrows the selection down to a few, or</w:t>
            </w:r>
          </w:p>
        </w:tc>
        <w:tc>
          <w:tcPr>
            <w:tcW w:w="239" w:type="dxa"/>
            <w:gridSpan w:val="2"/>
          </w:tcPr>
          <w:p w:rsidR="005B017C" w:rsidRPr="00E5370C" w:rsidRDefault="005B017C" w:rsidP="005B017C">
            <w:pPr>
              <w:spacing w:after="0" w:line="360" w:lineRule="auto"/>
              <w:ind w:left="-1742" w:right="-842" w:firstLine="1742"/>
              <w:jc w:val="both"/>
              <w:rPr>
                <w:color w:val="000000"/>
              </w:rPr>
            </w:pPr>
          </w:p>
        </w:tc>
        <w:tc>
          <w:tcPr>
            <w:tcW w:w="5385" w:type="dxa"/>
          </w:tcPr>
          <w:p w:rsidR="005B017C" w:rsidRDefault="005B017C" w:rsidP="005B017C">
            <w:pPr>
              <w:spacing w:after="0" w:line="360" w:lineRule="auto"/>
              <w:ind w:right="-842"/>
              <w:jc w:val="both"/>
              <w:rPr>
                <w:color w:val="000000"/>
              </w:rPr>
            </w:pPr>
            <w:r>
              <w:rPr>
                <w:color w:val="000000"/>
              </w:rPr>
              <w:t>Automated screening</w:t>
            </w:r>
            <w:r w:rsidR="00471865">
              <w:rPr>
                <w:color w:val="000000"/>
              </w:rPr>
              <w:t>; system provides suggestions, but</w:t>
            </w:r>
          </w:p>
          <w:p w:rsidR="00471865" w:rsidRPr="00E5370C" w:rsidRDefault="00471865" w:rsidP="005B017C">
            <w:pPr>
              <w:spacing w:after="0" w:line="360" w:lineRule="auto"/>
              <w:ind w:right="-842"/>
              <w:jc w:val="both"/>
              <w:rPr>
                <w:color w:val="000000"/>
              </w:rPr>
            </w:pPr>
            <w:r>
              <w:rPr>
                <w:color w:val="000000"/>
              </w:rPr>
              <w:t>human auditor controls the audit and makes decisions</w:t>
            </w:r>
          </w:p>
        </w:tc>
      </w:tr>
      <w:tr w:rsidR="00955B79" w:rsidRPr="00525A6C" w:rsidTr="00955B79">
        <w:trPr>
          <w:trHeight w:val="382"/>
        </w:trPr>
        <w:tc>
          <w:tcPr>
            <w:tcW w:w="633" w:type="dxa"/>
          </w:tcPr>
          <w:p w:rsidR="005B017C" w:rsidRDefault="005B017C" w:rsidP="005B017C">
            <w:pPr>
              <w:spacing w:after="0" w:line="360" w:lineRule="auto"/>
              <w:jc w:val="both"/>
              <w:rPr>
                <w:color w:val="000000"/>
              </w:rPr>
            </w:pPr>
          </w:p>
        </w:tc>
        <w:tc>
          <w:tcPr>
            <w:tcW w:w="447" w:type="dxa"/>
          </w:tcPr>
          <w:p w:rsidR="005B017C" w:rsidRPr="00E5370C" w:rsidRDefault="005B017C" w:rsidP="005B017C">
            <w:pPr>
              <w:spacing w:after="0" w:line="360" w:lineRule="auto"/>
              <w:jc w:val="both"/>
              <w:rPr>
                <w:color w:val="000000"/>
              </w:rPr>
            </w:pPr>
            <w:r>
              <w:rPr>
                <w:color w:val="000000"/>
              </w:rPr>
              <w:t>2</w:t>
            </w:r>
          </w:p>
        </w:tc>
        <w:tc>
          <w:tcPr>
            <w:tcW w:w="3632" w:type="dxa"/>
            <w:gridSpan w:val="2"/>
            <w:noWrap/>
            <w:vAlign w:val="bottom"/>
            <w:hideMark/>
          </w:tcPr>
          <w:p w:rsidR="005B017C" w:rsidRPr="00E5370C" w:rsidRDefault="005B017C" w:rsidP="005B017C">
            <w:pPr>
              <w:spacing w:after="0" w:line="360" w:lineRule="auto"/>
              <w:ind w:right="379"/>
              <w:jc w:val="both"/>
              <w:rPr>
                <w:color w:val="000000"/>
              </w:rPr>
            </w:pPr>
            <w:r w:rsidRPr="00E5370C">
              <w:rPr>
                <w:color w:val="000000"/>
              </w:rPr>
              <w:t>the computer offers a complete set of decision/action alternatives, or</w:t>
            </w:r>
          </w:p>
        </w:tc>
        <w:tc>
          <w:tcPr>
            <w:tcW w:w="239" w:type="dxa"/>
            <w:gridSpan w:val="2"/>
          </w:tcPr>
          <w:p w:rsidR="005B017C" w:rsidRPr="00E5370C" w:rsidRDefault="005B017C" w:rsidP="005B017C">
            <w:pPr>
              <w:spacing w:after="0" w:line="360" w:lineRule="auto"/>
              <w:ind w:left="-1742" w:right="-842" w:firstLine="1742"/>
              <w:jc w:val="both"/>
              <w:rPr>
                <w:color w:val="000000"/>
              </w:rPr>
            </w:pPr>
          </w:p>
        </w:tc>
        <w:tc>
          <w:tcPr>
            <w:tcW w:w="5385" w:type="dxa"/>
          </w:tcPr>
          <w:p w:rsidR="00955B79" w:rsidRDefault="005B017C" w:rsidP="005B017C">
            <w:pPr>
              <w:spacing w:after="0" w:line="360" w:lineRule="auto"/>
              <w:ind w:right="-842"/>
              <w:jc w:val="both"/>
              <w:rPr>
                <w:color w:val="000000"/>
              </w:rPr>
            </w:pPr>
            <w:r>
              <w:rPr>
                <w:color w:val="000000"/>
              </w:rPr>
              <w:t>Wide suggestive model where</w:t>
            </w:r>
            <w:r w:rsidR="00955B79">
              <w:rPr>
                <w:color w:val="000000"/>
              </w:rPr>
              <w:t xml:space="preserve">by human auditor </w:t>
            </w:r>
          </w:p>
          <w:p w:rsidR="00955B79" w:rsidRDefault="00955B79" w:rsidP="005B017C">
            <w:pPr>
              <w:spacing w:after="0" w:line="360" w:lineRule="auto"/>
              <w:ind w:right="-842"/>
              <w:jc w:val="both"/>
              <w:rPr>
                <w:color w:val="000000"/>
              </w:rPr>
            </w:pPr>
            <w:r>
              <w:rPr>
                <w:color w:val="000000"/>
              </w:rPr>
              <w:t xml:space="preserve">conducts the audit, but computer facilitates the process </w:t>
            </w:r>
          </w:p>
          <w:p w:rsidR="005B017C" w:rsidRPr="00E5370C" w:rsidRDefault="00955B79" w:rsidP="005B017C">
            <w:pPr>
              <w:spacing w:after="0" w:line="360" w:lineRule="auto"/>
              <w:ind w:right="-842"/>
              <w:jc w:val="both"/>
              <w:rPr>
                <w:color w:val="000000"/>
              </w:rPr>
            </w:pPr>
            <w:r>
              <w:rPr>
                <w:color w:val="000000"/>
              </w:rPr>
              <w:t>by offering alternatives; decision support based audit</w:t>
            </w:r>
          </w:p>
        </w:tc>
      </w:tr>
      <w:tr w:rsidR="00955B79" w:rsidRPr="00525A6C" w:rsidTr="00955B79">
        <w:trPr>
          <w:trHeight w:val="382"/>
        </w:trPr>
        <w:tc>
          <w:tcPr>
            <w:tcW w:w="633" w:type="dxa"/>
            <w:tcBorders>
              <w:bottom w:val="single" w:sz="4" w:space="0" w:color="auto"/>
            </w:tcBorders>
          </w:tcPr>
          <w:p w:rsidR="005B017C" w:rsidRDefault="005B017C" w:rsidP="005B017C">
            <w:pPr>
              <w:spacing w:after="0" w:line="360" w:lineRule="auto"/>
              <w:jc w:val="both"/>
              <w:rPr>
                <w:color w:val="000000"/>
              </w:rPr>
            </w:pPr>
            <w:r>
              <w:rPr>
                <w:color w:val="000000"/>
              </w:rPr>
              <w:t>Low</w:t>
            </w:r>
          </w:p>
        </w:tc>
        <w:tc>
          <w:tcPr>
            <w:tcW w:w="447" w:type="dxa"/>
            <w:tcBorders>
              <w:bottom w:val="single" w:sz="4" w:space="0" w:color="auto"/>
            </w:tcBorders>
          </w:tcPr>
          <w:p w:rsidR="005B017C" w:rsidRPr="00E5370C" w:rsidRDefault="005B017C" w:rsidP="005B017C">
            <w:pPr>
              <w:spacing w:after="0" w:line="360" w:lineRule="auto"/>
              <w:jc w:val="both"/>
              <w:rPr>
                <w:color w:val="000000"/>
              </w:rPr>
            </w:pPr>
            <w:r>
              <w:rPr>
                <w:color w:val="000000"/>
              </w:rPr>
              <w:t>1</w:t>
            </w:r>
          </w:p>
        </w:tc>
        <w:tc>
          <w:tcPr>
            <w:tcW w:w="3632" w:type="dxa"/>
            <w:gridSpan w:val="2"/>
            <w:tcBorders>
              <w:bottom w:val="single" w:sz="4" w:space="0" w:color="auto"/>
            </w:tcBorders>
            <w:noWrap/>
            <w:vAlign w:val="bottom"/>
            <w:hideMark/>
          </w:tcPr>
          <w:p w:rsidR="005B017C" w:rsidRPr="00E5370C" w:rsidRDefault="005B017C" w:rsidP="005B017C">
            <w:pPr>
              <w:spacing w:after="0" w:line="360" w:lineRule="auto"/>
              <w:ind w:right="379"/>
              <w:jc w:val="both"/>
              <w:rPr>
                <w:color w:val="000000"/>
              </w:rPr>
            </w:pPr>
            <w:r w:rsidRPr="00E5370C">
              <w:rPr>
                <w:color w:val="000000"/>
              </w:rPr>
              <w:t>the computer offers no assistance: human must take all decisions and actions.</w:t>
            </w:r>
          </w:p>
        </w:tc>
        <w:tc>
          <w:tcPr>
            <w:tcW w:w="239" w:type="dxa"/>
            <w:gridSpan w:val="2"/>
            <w:tcBorders>
              <w:bottom w:val="single" w:sz="4" w:space="0" w:color="auto"/>
            </w:tcBorders>
          </w:tcPr>
          <w:p w:rsidR="005B017C" w:rsidRPr="00E5370C" w:rsidRDefault="005B017C" w:rsidP="005B017C">
            <w:pPr>
              <w:spacing w:after="0" w:line="360" w:lineRule="auto"/>
              <w:ind w:left="-1742" w:right="-842" w:firstLine="1742"/>
              <w:jc w:val="both"/>
              <w:rPr>
                <w:color w:val="000000"/>
              </w:rPr>
            </w:pPr>
          </w:p>
        </w:tc>
        <w:tc>
          <w:tcPr>
            <w:tcW w:w="5385" w:type="dxa"/>
            <w:tcBorders>
              <w:bottom w:val="single" w:sz="4" w:space="0" w:color="auto"/>
            </w:tcBorders>
          </w:tcPr>
          <w:p w:rsidR="005B017C" w:rsidRPr="00E5370C" w:rsidRDefault="005B017C" w:rsidP="005B017C">
            <w:pPr>
              <w:spacing w:after="0" w:line="360" w:lineRule="auto"/>
              <w:ind w:right="-842"/>
              <w:jc w:val="both"/>
              <w:rPr>
                <w:color w:val="000000"/>
              </w:rPr>
            </w:pPr>
            <w:r>
              <w:rPr>
                <w:color w:val="000000"/>
              </w:rPr>
              <w:t>The manual audit</w:t>
            </w:r>
          </w:p>
        </w:tc>
      </w:tr>
    </w:tbl>
    <w:p w:rsidR="00374FF3" w:rsidRDefault="00374FF3" w:rsidP="001D6084">
      <w:pPr>
        <w:pStyle w:val="Caption"/>
        <w:spacing w:line="360" w:lineRule="auto"/>
        <w:jc w:val="both"/>
      </w:pPr>
    </w:p>
    <w:p w:rsidR="00025230" w:rsidRDefault="00025230" w:rsidP="001D6084">
      <w:pPr>
        <w:pStyle w:val="Caption"/>
        <w:spacing w:line="360" w:lineRule="auto"/>
        <w:jc w:val="both"/>
      </w:pPr>
      <w:r>
        <w:t xml:space="preserve">Table </w:t>
      </w:r>
      <w:r w:rsidR="00BD2BCD">
        <w:fldChar w:fldCharType="begin"/>
      </w:r>
      <w:r w:rsidR="00BD2BCD">
        <w:instrText xml:space="preserve"> SEQ Table \* ARABIC </w:instrText>
      </w:r>
      <w:r w:rsidR="00BD2BCD">
        <w:fldChar w:fldCharType="separate"/>
      </w:r>
      <w:r w:rsidR="00C92099">
        <w:rPr>
          <w:noProof/>
        </w:rPr>
        <w:t>1</w:t>
      </w:r>
      <w:r w:rsidR="00BD2BCD">
        <w:rPr>
          <w:noProof/>
        </w:rPr>
        <w:fldChar w:fldCharType="end"/>
      </w:r>
      <w:r>
        <w:t xml:space="preserve">: </w:t>
      </w:r>
      <w:r w:rsidRPr="00F26438">
        <w:t>levels of automation of decision and action selection</w:t>
      </w:r>
      <w:r>
        <w:t xml:space="preserve"> (adapted from Parasu</w:t>
      </w:r>
      <w:r w:rsidR="00471865">
        <w:t>ra</w:t>
      </w:r>
      <w:r>
        <w:t>maran et all,</w:t>
      </w:r>
      <w:r w:rsidR="00DA495C">
        <w:t>2000</w:t>
      </w:r>
      <w:r>
        <w:t>)</w:t>
      </w:r>
    </w:p>
    <w:p w:rsidR="00025230" w:rsidRPr="00402CC6" w:rsidRDefault="00025230" w:rsidP="001D6084">
      <w:pPr>
        <w:spacing w:line="360" w:lineRule="auto"/>
        <w:jc w:val="both"/>
      </w:pPr>
    </w:p>
    <w:p w:rsidR="00025230" w:rsidRDefault="00DA495C" w:rsidP="001D6084">
      <w:pPr>
        <w:spacing w:line="360" w:lineRule="auto"/>
        <w:ind w:firstLine="720"/>
        <w:jc w:val="both"/>
        <w:rPr>
          <w:rFonts w:cs="Calibri"/>
        </w:rPr>
      </w:pPr>
      <w:r>
        <w:rPr>
          <w:rFonts w:cs="Calibri"/>
        </w:rPr>
        <w:t>Parasuraman</w:t>
      </w:r>
      <w:r w:rsidR="00025230">
        <w:rPr>
          <w:rFonts w:cs="Calibri"/>
        </w:rPr>
        <w:t xml:space="preserve"> et al</w:t>
      </w:r>
      <w:r>
        <w:rPr>
          <w:rFonts w:cs="Calibri"/>
        </w:rPr>
        <w:t>. (2000)</w:t>
      </w:r>
      <w:r w:rsidR="00025230">
        <w:rPr>
          <w:rFonts w:cs="Calibri"/>
        </w:rPr>
        <w:t xml:space="preserve"> also divide human information processing into four stages: 1) information acquisition, 2) information analysis, 3) decision </w:t>
      </w:r>
      <w:r>
        <w:rPr>
          <w:rFonts w:cs="Calibri"/>
        </w:rPr>
        <w:t>-selection</w:t>
      </w:r>
      <w:r w:rsidR="00025230">
        <w:rPr>
          <w:rFonts w:cs="Calibri"/>
        </w:rPr>
        <w:t xml:space="preserve">, and 4) action implementation. </w:t>
      </w:r>
      <w:r w:rsidR="00025230">
        <w:rPr>
          <w:rFonts w:cs="Calibri"/>
        </w:rPr>
        <w:fldChar w:fldCharType="begin"/>
      </w:r>
      <w:r w:rsidR="00025230">
        <w:rPr>
          <w:rFonts w:cs="Calibri"/>
        </w:rPr>
        <w:instrText xml:space="preserve"> REF _Ref352168479 \h </w:instrText>
      </w:r>
      <w:r w:rsidR="001D6084">
        <w:rPr>
          <w:rFonts w:cs="Calibri"/>
        </w:rPr>
        <w:instrText xml:space="preserve"> \* MERGEFORMAT </w:instrText>
      </w:r>
      <w:r w:rsidR="00025230">
        <w:rPr>
          <w:rFonts w:cs="Calibri"/>
        </w:rPr>
      </w:r>
      <w:r w:rsidR="00025230">
        <w:rPr>
          <w:rFonts w:cs="Calibri"/>
        </w:rPr>
        <w:fldChar w:fldCharType="separate"/>
      </w:r>
      <w:r w:rsidR="00C92099">
        <w:t xml:space="preserve">Table </w:t>
      </w:r>
      <w:r w:rsidR="00C92099">
        <w:rPr>
          <w:noProof/>
        </w:rPr>
        <w:t>2</w:t>
      </w:r>
      <w:r w:rsidR="00025230">
        <w:rPr>
          <w:rFonts w:cs="Calibri"/>
        </w:rPr>
        <w:fldChar w:fldCharType="end"/>
      </w:r>
      <w:r w:rsidR="00025230">
        <w:rPr>
          <w:rFonts w:cs="Calibri"/>
        </w:rPr>
        <w:t xml:space="preserve"> presents potential tools / approaches relevant to audit as aids in these dimensions.</w:t>
      </w:r>
    </w:p>
    <w:p w:rsidR="00025230" w:rsidRDefault="00025230" w:rsidP="001D6084">
      <w:pPr>
        <w:autoSpaceDE w:val="0"/>
        <w:autoSpaceDN w:val="0"/>
        <w:adjustRightInd w:val="0"/>
        <w:spacing w:after="0" w:line="360" w:lineRule="auto"/>
        <w:ind w:firstLine="72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25230" w:rsidRPr="00525A6C" w:rsidTr="00525A6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Information acquisition</w:t>
            </w:r>
          </w:p>
        </w:t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SQL queries</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Computer vision</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Automatic sensing</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E-Commerce</w:t>
            </w:r>
          </w:p>
        </w:tc>
      </w:tr>
      <w:tr w:rsidR="00025230" w:rsidRPr="00525A6C" w:rsidTr="00525A6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Information analysis</w:t>
            </w:r>
          </w:p>
        </w:t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Ratio analysis</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Descriptive statistics</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Visualization</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Machine learning</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Many forms of audit analytics</w:t>
            </w:r>
          </w:p>
        </w:tc>
      </w:tr>
      <w:tr w:rsidR="00025230" w:rsidRPr="00525A6C" w:rsidTr="00525A6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Decision selection</w:t>
            </w:r>
          </w:p>
        </w:t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Knowledge engineering</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Deterministic and stochastic models</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Optimization</w:t>
            </w:r>
          </w:p>
        </w:tc>
      </w:tr>
      <w:tr w:rsidR="00025230" w:rsidRPr="00525A6C" w:rsidTr="00525A6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Action Implementation</w:t>
            </w:r>
          </w:p>
        </w:tc>
        <w:tc>
          <w:tcPr>
            <w:tcW w:w="4788" w:type="dxa"/>
          </w:tcPr>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Process reengineering</w:t>
            </w:r>
          </w:p>
          <w:p w:rsidR="00025230" w:rsidRPr="00525A6C" w:rsidRDefault="00025230" w:rsidP="001D6084">
            <w:pPr>
              <w:autoSpaceDE w:val="0"/>
              <w:autoSpaceDN w:val="0"/>
              <w:adjustRightInd w:val="0"/>
              <w:spacing w:after="0" w:line="360" w:lineRule="auto"/>
              <w:jc w:val="both"/>
              <w:rPr>
                <w:rFonts w:ascii="Times New Roman" w:hAnsi="Times New Roman"/>
                <w:sz w:val="24"/>
                <w:szCs w:val="24"/>
              </w:rPr>
            </w:pPr>
            <w:r w:rsidRPr="00525A6C">
              <w:rPr>
                <w:rFonts w:ascii="Times New Roman" w:hAnsi="Times New Roman"/>
                <w:sz w:val="24"/>
                <w:szCs w:val="24"/>
              </w:rPr>
              <w:t>Typically manual methods</w:t>
            </w:r>
          </w:p>
        </w:tc>
      </w:tr>
    </w:tbl>
    <w:p w:rsidR="00025230" w:rsidRDefault="00025230" w:rsidP="001D6084">
      <w:pPr>
        <w:autoSpaceDE w:val="0"/>
        <w:autoSpaceDN w:val="0"/>
        <w:adjustRightInd w:val="0"/>
        <w:spacing w:after="0" w:line="360" w:lineRule="auto"/>
        <w:ind w:firstLine="720"/>
        <w:jc w:val="both"/>
        <w:rPr>
          <w:rFonts w:ascii="Times New Roman" w:hAnsi="Times New Roman"/>
          <w:sz w:val="24"/>
          <w:szCs w:val="24"/>
        </w:rPr>
      </w:pPr>
    </w:p>
    <w:p w:rsidR="00025230" w:rsidRDefault="00025230" w:rsidP="001D6084">
      <w:pPr>
        <w:pStyle w:val="Caption"/>
        <w:spacing w:line="360" w:lineRule="auto"/>
        <w:jc w:val="both"/>
        <w:rPr>
          <w:rFonts w:ascii="Times New Roman" w:hAnsi="Times New Roman"/>
          <w:sz w:val="24"/>
          <w:szCs w:val="24"/>
        </w:rPr>
      </w:pPr>
      <w:bookmarkStart w:id="2" w:name="_Ref352168479"/>
      <w:r>
        <w:t xml:space="preserve">Table </w:t>
      </w:r>
      <w:r w:rsidR="00BD2BCD">
        <w:fldChar w:fldCharType="begin"/>
      </w:r>
      <w:r w:rsidR="00BD2BCD">
        <w:instrText xml:space="preserve"> SEQ Table \* ARABIC </w:instrText>
      </w:r>
      <w:r w:rsidR="00BD2BCD">
        <w:fldChar w:fldCharType="separate"/>
      </w:r>
      <w:r w:rsidR="00C92099">
        <w:rPr>
          <w:noProof/>
        </w:rPr>
        <w:t>2</w:t>
      </w:r>
      <w:r w:rsidR="00BD2BCD">
        <w:rPr>
          <w:noProof/>
        </w:rPr>
        <w:fldChar w:fldCharType="end"/>
      </w:r>
      <w:bookmarkEnd w:id="2"/>
      <w:r>
        <w:t>: Automa</w:t>
      </w:r>
      <w:r w:rsidRPr="00AF410E">
        <w:t>tion tool</w:t>
      </w:r>
      <w:r w:rsidR="00DA495C">
        <w:t>s</w:t>
      </w:r>
      <w:r w:rsidRPr="00AF410E">
        <w:t xml:space="preserve"> in audit</w:t>
      </w:r>
      <w:r w:rsidR="00DA495C">
        <w:t xml:space="preserve"> -</w:t>
      </w:r>
      <w:r w:rsidRPr="00AF410E">
        <w:t xml:space="preserve"> human information processing</w:t>
      </w:r>
      <w:r>
        <w:rPr>
          <w:rFonts w:ascii="Times New Roman" w:hAnsi="Times New Roman"/>
          <w:sz w:val="24"/>
          <w:szCs w:val="24"/>
        </w:rPr>
        <w:tab/>
      </w:r>
    </w:p>
    <w:p w:rsidR="00025230" w:rsidRDefault="00025230" w:rsidP="001D608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The topic of audit automation has been often in the literature (</w:t>
      </w:r>
      <w:r w:rsidR="004E612A">
        <w:rPr>
          <w:rFonts w:ascii="Times New Roman" w:hAnsi="Times New Roman"/>
          <w:sz w:val="24"/>
          <w:szCs w:val="24"/>
        </w:rPr>
        <w:t>Janvrin et al, 2008; Ke</w:t>
      </w:r>
      <w:r w:rsidR="002011CF">
        <w:rPr>
          <w:rFonts w:ascii="Times New Roman" w:hAnsi="Times New Roman"/>
          <w:sz w:val="24"/>
          <w:szCs w:val="24"/>
        </w:rPr>
        <w:t>e</w:t>
      </w:r>
      <w:r w:rsidR="004E612A">
        <w:rPr>
          <w:rFonts w:ascii="Times New Roman" w:hAnsi="Times New Roman"/>
          <w:sz w:val="24"/>
          <w:szCs w:val="24"/>
        </w:rPr>
        <w:t>noy, 195</w:t>
      </w:r>
      <w:r w:rsidR="00C87344">
        <w:rPr>
          <w:rFonts w:ascii="Times New Roman" w:hAnsi="Times New Roman"/>
          <w:sz w:val="24"/>
          <w:szCs w:val="24"/>
        </w:rPr>
        <w:t>8; Vasarhelyi 2004, 1985, 1984,</w:t>
      </w:r>
      <w:r w:rsidR="004E612A">
        <w:rPr>
          <w:rFonts w:ascii="Times New Roman" w:hAnsi="Times New Roman"/>
          <w:sz w:val="24"/>
          <w:szCs w:val="24"/>
        </w:rPr>
        <w:t>1983</w:t>
      </w:r>
      <w:r>
        <w:rPr>
          <w:rFonts w:ascii="Times New Roman" w:hAnsi="Times New Roman"/>
          <w:sz w:val="24"/>
          <w:szCs w:val="24"/>
        </w:rPr>
        <w:t xml:space="preserve">) over the last </w:t>
      </w:r>
      <w:r w:rsidR="002011CF">
        <w:rPr>
          <w:rFonts w:ascii="Times New Roman" w:hAnsi="Times New Roman"/>
          <w:sz w:val="24"/>
          <w:szCs w:val="24"/>
        </w:rPr>
        <w:t xml:space="preserve">few </w:t>
      </w:r>
      <w:r>
        <w:rPr>
          <w:rFonts w:ascii="Times New Roman" w:hAnsi="Times New Roman"/>
          <w:sz w:val="24"/>
          <w:szCs w:val="24"/>
        </w:rPr>
        <w:t>decades</w:t>
      </w:r>
      <w:r w:rsidR="00C93ADA">
        <w:rPr>
          <w:rFonts w:ascii="Times New Roman" w:hAnsi="Times New Roman"/>
          <w:sz w:val="24"/>
          <w:szCs w:val="24"/>
        </w:rPr>
        <w:t>.  Audit automation capabilities</w:t>
      </w:r>
      <w:r w:rsidR="00C87344">
        <w:rPr>
          <w:rFonts w:ascii="Times New Roman" w:hAnsi="Times New Roman"/>
          <w:sz w:val="24"/>
          <w:szCs w:val="24"/>
        </w:rPr>
        <w:t xml:space="preserve"> </w:t>
      </w:r>
      <w:r w:rsidR="00C93ADA">
        <w:rPr>
          <w:rFonts w:ascii="Times New Roman" w:hAnsi="Times New Roman"/>
          <w:sz w:val="24"/>
          <w:szCs w:val="24"/>
        </w:rPr>
        <w:t xml:space="preserve">were initially manifested in </w:t>
      </w:r>
      <w:r>
        <w:rPr>
          <w:rFonts w:ascii="Times New Roman" w:hAnsi="Times New Roman"/>
          <w:sz w:val="24"/>
          <w:szCs w:val="24"/>
        </w:rPr>
        <w:t xml:space="preserve">CAAT programs, </w:t>
      </w:r>
      <w:r w:rsidR="00C93ADA">
        <w:rPr>
          <w:rFonts w:ascii="Times New Roman" w:hAnsi="Times New Roman"/>
          <w:sz w:val="24"/>
          <w:szCs w:val="24"/>
        </w:rPr>
        <w:t xml:space="preserve">were subsequently offered within </w:t>
      </w:r>
      <w:r>
        <w:rPr>
          <w:rFonts w:ascii="Times New Roman" w:hAnsi="Times New Roman"/>
          <w:sz w:val="24"/>
          <w:szCs w:val="24"/>
        </w:rPr>
        <w:t xml:space="preserve">PCs in </w:t>
      </w:r>
      <w:r w:rsidR="00C93ADA">
        <w:rPr>
          <w:rFonts w:ascii="Times New Roman" w:hAnsi="Times New Roman"/>
          <w:sz w:val="24"/>
          <w:szCs w:val="24"/>
        </w:rPr>
        <w:t xml:space="preserve">the </w:t>
      </w:r>
      <w:r>
        <w:rPr>
          <w:rFonts w:ascii="Times New Roman" w:hAnsi="Times New Roman"/>
          <w:sz w:val="24"/>
          <w:szCs w:val="24"/>
        </w:rPr>
        <w:t>practice</w:t>
      </w:r>
      <w:r w:rsidR="00C93ADA">
        <w:rPr>
          <w:rFonts w:ascii="Times New Roman" w:hAnsi="Times New Roman"/>
          <w:sz w:val="24"/>
          <w:szCs w:val="24"/>
        </w:rPr>
        <w:t xml:space="preserve"> context</w:t>
      </w:r>
      <w:r>
        <w:rPr>
          <w:rFonts w:ascii="Times New Roman" w:hAnsi="Times New Roman"/>
          <w:sz w:val="24"/>
          <w:szCs w:val="24"/>
        </w:rPr>
        <w:t>, and</w:t>
      </w:r>
      <w:r w:rsidR="00C93ADA">
        <w:rPr>
          <w:rFonts w:ascii="Times New Roman" w:hAnsi="Times New Roman"/>
          <w:sz w:val="24"/>
          <w:szCs w:val="24"/>
        </w:rPr>
        <w:t>,</w:t>
      </w:r>
      <w:r>
        <w:rPr>
          <w:rFonts w:ascii="Times New Roman" w:hAnsi="Times New Roman"/>
          <w:sz w:val="24"/>
          <w:szCs w:val="24"/>
        </w:rPr>
        <w:t xml:space="preserve"> more recently</w:t>
      </w:r>
      <w:r w:rsidR="00C93ADA">
        <w:rPr>
          <w:rFonts w:ascii="Times New Roman" w:hAnsi="Times New Roman"/>
          <w:sz w:val="24"/>
          <w:szCs w:val="24"/>
        </w:rPr>
        <w:t>,</w:t>
      </w:r>
      <w:r>
        <w:rPr>
          <w:rFonts w:ascii="Times New Roman" w:hAnsi="Times New Roman"/>
          <w:sz w:val="24"/>
          <w:szCs w:val="24"/>
        </w:rPr>
        <w:t xml:space="preserve"> </w:t>
      </w:r>
      <w:r w:rsidR="00C93ADA">
        <w:rPr>
          <w:rFonts w:ascii="Times New Roman" w:hAnsi="Times New Roman"/>
          <w:sz w:val="24"/>
          <w:szCs w:val="24"/>
        </w:rPr>
        <w:t>-have appeared in a plethora of</w:t>
      </w:r>
      <w:r>
        <w:rPr>
          <w:rFonts w:ascii="Times New Roman" w:hAnsi="Times New Roman"/>
          <w:sz w:val="24"/>
          <w:szCs w:val="24"/>
        </w:rPr>
        <w:t xml:space="preserve"> decision support tools (</w:t>
      </w:r>
      <w:r w:rsidR="004E612A">
        <w:rPr>
          <w:rFonts w:ascii="Times New Roman" w:hAnsi="Times New Roman"/>
          <w:sz w:val="24"/>
          <w:szCs w:val="24"/>
        </w:rPr>
        <w:t>Carson and Dowling, 2012;</w:t>
      </w:r>
      <w:r>
        <w:rPr>
          <w:rFonts w:ascii="Times New Roman" w:hAnsi="Times New Roman"/>
          <w:sz w:val="24"/>
          <w:szCs w:val="24"/>
        </w:rPr>
        <w:t xml:space="preserve"> </w:t>
      </w:r>
      <w:r w:rsidR="004E612A">
        <w:rPr>
          <w:rFonts w:ascii="Times New Roman" w:hAnsi="Times New Roman"/>
          <w:sz w:val="24"/>
          <w:szCs w:val="24"/>
        </w:rPr>
        <w:t xml:space="preserve">Dowling </w:t>
      </w:r>
      <w:r>
        <w:rPr>
          <w:rFonts w:ascii="Times New Roman" w:hAnsi="Times New Roman"/>
          <w:sz w:val="24"/>
          <w:szCs w:val="24"/>
        </w:rPr>
        <w:t xml:space="preserve">and </w:t>
      </w:r>
      <w:r w:rsidR="004E612A">
        <w:rPr>
          <w:rFonts w:ascii="Times New Roman" w:hAnsi="Times New Roman"/>
          <w:sz w:val="24"/>
          <w:szCs w:val="24"/>
        </w:rPr>
        <w:t>Leech, 2007</w:t>
      </w:r>
      <w:r>
        <w:rPr>
          <w:rFonts w:ascii="Times New Roman" w:hAnsi="Times New Roman"/>
          <w:sz w:val="24"/>
          <w:szCs w:val="24"/>
        </w:rPr>
        <w:t xml:space="preserve">). The next generation of audit automation will have to be </w:t>
      </w:r>
      <w:r w:rsidR="00491FC8">
        <w:rPr>
          <w:rFonts w:ascii="Times New Roman" w:hAnsi="Times New Roman"/>
          <w:sz w:val="24"/>
          <w:szCs w:val="24"/>
        </w:rPr>
        <w:t>-</w:t>
      </w:r>
      <w:r w:rsidR="00FA2DAF">
        <w:rPr>
          <w:rFonts w:ascii="Times New Roman" w:hAnsi="Times New Roman" w:hint="eastAsia"/>
          <w:sz w:val="24"/>
          <w:szCs w:val="24"/>
          <w:lang w:eastAsia="zh-CN"/>
        </w:rPr>
        <w:t xml:space="preserve">an </w:t>
      </w:r>
      <w:r w:rsidR="00491FC8">
        <w:rPr>
          <w:rFonts w:ascii="Times New Roman" w:hAnsi="Times New Roman"/>
          <w:sz w:val="24"/>
          <w:szCs w:val="24"/>
          <w:lang w:eastAsia="zh-CN"/>
        </w:rPr>
        <w:t xml:space="preserve">essentially </w:t>
      </w:r>
      <w:r>
        <w:rPr>
          <w:rFonts w:ascii="Times New Roman" w:hAnsi="Times New Roman"/>
          <w:sz w:val="24"/>
          <w:szCs w:val="24"/>
        </w:rPr>
        <w:t xml:space="preserve">integral </w:t>
      </w:r>
      <w:r w:rsidR="00491FC8">
        <w:rPr>
          <w:rFonts w:ascii="Times New Roman" w:hAnsi="Times New Roman"/>
          <w:sz w:val="24"/>
          <w:szCs w:val="24"/>
        </w:rPr>
        <w:t xml:space="preserve">component </w:t>
      </w:r>
      <w:r>
        <w:rPr>
          <w:rFonts w:ascii="Times New Roman" w:hAnsi="Times New Roman"/>
          <w:sz w:val="24"/>
          <w:szCs w:val="24"/>
        </w:rPr>
        <w:t xml:space="preserve">of business processes due to the current nature of business systems which have morphed </w:t>
      </w:r>
      <w:r w:rsidR="00491FC8">
        <w:rPr>
          <w:rFonts w:ascii="Times New Roman" w:hAnsi="Times New Roman"/>
          <w:sz w:val="24"/>
          <w:szCs w:val="24"/>
        </w:rPr>
        <w:t>in</w:t>
      </w:r>
      <w:r>
        <w:rPr>
          <w:rFonts w:ascii="Times New Roman" w:hAnsi="Times New Roman"/>
          <w:sz w:val="24"/>
          <w:szCs w:val="24"/>
        </w:rPr>
        <w:t>to be</w:t>
      </w:r>
      <w:r w:rsidR="00491FC8">
        <w:rPr>
          <w:rFonts w:ascii="Times New Roman" w:hAnsi="Times New Roman"/>
          <w:sz w:val="24"/>
          <w:szCs w:val="24"/>
        </w:rPr>
        <w:t>ing</w:t>
      </w:r>
      <w:r>
        <w:rPr>
          <w:rFonts w:ascii="Times New Roman" w:hAnsi="Times New Roman"/>
          <w:sz w:val="24"/>
          <w:szCs w:val="24"/>
        </w:rPr>
        <w:t xml:space="preserve"> un-auditable by traditional methods and certainly traditional standards</w:t>
      </w:r>
      <w:r w:rsidR="004E612A">
        <w:rPr>
          <w:rFonts w:ascii="Times New Roman" w:hAnsi="Times New Roman"/>
          <w:sz w:val="24"/>
          <w:szCs w:val="24"/>
        </w:rPr>
        <w:t xml:space="preserve"> (Titera, 2013)</w:t>
      </w:r>
      <w:r>
        <w:rPr>
          <w:rFonts w:ascii="Times New Roman" w:hAnsi="Times New Roman"/>
          <w:sz w:val="24"/>
          <w:szCs w:val="24"/>
        </w:rPr>
        <w:t>. Many of these systems: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Incorporate enormous quantities of both endogenous and exogenous data</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Encompass many real time or close to real time processes that are customer visible and sensitive</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Integrate gracefully with external (outsourced) systems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Have some degree of automatic decision making </w:t>
      </w:r>
      <w:r w:rsidR="00580FCD">
        <w:rPr>
          <w:rFonts w:ascii="Times New Roman" w:hAnsi="Times New Roman"/>
          <w:sz w:val="24"/>
          <w:szCs w:val="24"/>
        </w:rPr>
        <w:t xml:space="preserve">built </w:t>
      </w:r>
      <w:r>
        <w:rPr>
          <w:rFonts w:ascii="Times New Roman" w:hAnsi="Times New Roman"/>
          <w:sz w:val="24"/>
          <w:szCs w:val="24"/>
        </w:rPr>
        <w:t>into the systems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Are not directly observable neither in terms of data nor in terms of controls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Incorporate a range of different technologies / vendors with modified ERPs adapted to the organization’s business processes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Sit on common cloud environments</w:t>
      </w:r>
    </w:p>
    <w:p w:rsidR="00025230" w:rsidRDefault="00025230" w:rsidP="001D6084">
      <w:pPr>
        <w:pStyle w:val="ListParagraph"/>
        <w:numPr>
          <w:ilvl w:val="0"/>
          <w:numId w:val="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Are part of a product ecosystem (e.g. Amazon’s Kindle, Apple Music, etc)</w:t>
      </w:r>
    </w:p>
    <w:p w:rsidR="00025230" w:rsidRDefault="00025230" w:rsidP="001D608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This “traditional method un-auditabili</w:t>
      </w:r>
      <w:r w:rsidR="00A5201E">
        <w:rPr>
          <w:rFonts w:ascii="Times New Roman" w:hAnsi="Times New Roman"/>
          <w:sz w:val="24"/>
          <w:szCs w:val="24"/>
        </w:rPr>
        <w:t>t</w:t>
      </w:r>
      <w:r>
        <w:rPr>
          <w:rFonts w:ascii="Times New Roman" w:hAnsi="Times New Roman"/>
          <w:sz w:val="24"/>
          <w:szCs w:val="24"/>
        </w:rPr>
        <w:t>y” (</w:t>
      </w:r>
      <w:r>
        <w:rPr>
          <w:rFonts w:ascii="Times New Roman" w:hAnsi="Times New Roman"/>
          <w:b/>
          <w:sz w:val="24"/>
          <w:szCs w:val="24"/>
        </w:rPr>
        <w:t>TMU</w:t>
      </w:r>
      <w:r>
        <w:t>)</w:t>
      </w:r>
      <w:r>
        <w:rPr>
          <w:rFonts w:ascii="Times New Roman" w:hAnsi="Times New Roman"/>
          <w:sz w:val="24"/>
          <w:szCs w:val="24"/>
        </w:rPr>
        <w:t xml:space="preserve"> is reflected by a series of </w:t>
      </w:r>
      <w:r w:rsidR="00580FCD">
        <w:rPr>
          <w:rFonts w:ascii="Times New Roman" w:hAnsi="Times New Roman"/>
          <w:sz w:val="24"/>
          <w:szCs w:val="24"/>
        </w:rPr>
        <w:t xml:space="preserve">technical, procedural, and environmental </w:t>
      </w:r>
      <w:r>
        <w:rPr>
          <w:rFonts w:ascii="Times New Roman" w:hAnsi="Times New Roman"/>
          <w:sz w:val="24"/>
          <w:szCs w:val="24"/>
        </w:rPr>
        <w:t>considerations</w:t>
      </w:r>
      <w:r w:rsidR="00580FCD">
        <w:rPr>
          <w:rFonts w:ascii="Times New Roman" w:hAnsi="Times New Roman"/>
          <w:sz w:val="24"/>
          <w:szCs w:val="24"/>
        </w:rPr>
        <w:t xml:space="preserve"> such as the following-</w:t>
      </w:r>
      <w:r>
        <w:rPr>
          <w:rFonts w:ascii="Times New Roman" w:hAnsi="Times New Roman"/>
          <w:sz w:val="24"/>
          <w:szCs w:val="24"/>
        </w:rPr>
        <w:t>:</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Data is so large that sampling has very little value</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Data is so large that</w:t>
      </w:r>
      <w:r w:rsidR="00580FCD">
        <w:rPr>
          <w:rFonts w:ascii="Times New Roman" w:hAnsi="Times New Roman"/>
          <w:sz w:val="24"/>
          <w:szCs w:val="24"/>
        </w:rPr>
        <w:t xml:space="preserve"> it</w:t>
      </w:r>
      <w:r>
        <w:rPr>
          <w:rFonts w:ascii="Times New Roman" w:hAnsi="Times New Roman"/>
          <w:sz w:val="24"/>
          <w:szCs w:val="24"/>
        </w:rPr>
        <w:t xml:space="preserve"> is not practical to perform a large number of full population tests</w:t>
      </w:r>
    </w:p>
    <w:p w:rsidR="00025230" w:rsidRDefault="004E612A"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Analytic t</w:t>
      </w:r>
      <w:r w:rsidR="00025230">
        <w:rPr>
          <w:rFonts w:ascii="Times New Roman" w:hAnsi="Times New Roman"/>
          <w:sz w:val="24"/>
          <w:szCs w:val="24"/>
        </w:rPr>
        <w:t>echnology is now such that forensic preventive models can be developed to filter out transactions that would have been ex-post facto reviewed</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Traditional confirmations add very little evidence</w:t>
      </w:r>
      <w:r w:rsidR="00580FCD">
        <w:rPr>
          <w:rFonts w:ascii="Times New Roman" w:hAnsi="Times New Roman"/>
          <w:sz w:val="24"/>
          <w:szCs w:val="24"/>
        </w:rPr>
        <w:t xml:space="preserve">; </w:t>
      </w:r>
      <w:r>
        <w:rPr>
          <w:rFonts w:ascii="Times New Roman" w:hAnsi="Times New Roman"/>
          <w:sz w:val="24"/>
          <w:szCs w:val="24"/>
        </w:rPr>
        <w:t>new met</w:t>
      </w:r>
      <w:r w:rsidR="004E612A">
        <w:rPr>
          <w:rFonts w:ascii="Times New Roman" w:hAnsi="Times New Roman"/>
          <w:sz w:val="24"/>
          <w:szCs w:val="24"/>
        </w:rPr>
        <w:t>hods of third party validation [</w:t>
      </w:r>
      <w:r>
        <w:rPr>
          <w:rFonts w:ascii="Times New Roman" w:hAnsi="Times New Roman"/>
          <w:sz w:val="24"/>
          <w:szCs w:val="24"/>
        </w:rPr>
        <w:t>e.g. confirmatory extranets</w:t>
      </w:r>
      <w:r w:rsidR="004E612A">
        <w:rPr>
          <w:rFonts w:ascii="Times New Roman" w:hAnsi="Times New Roman"/>
          <w:sz w:val="24"/>
          <w:szCs w:val="24"/>
        </w:rPr>
        <w:t>; (Vasarhelyi, 2008</w:t>
      </w:r>
      <w:r>
        <w:rPr>
          <w:rFonts w:ascii="Times New Roman" w:hAnsi="Times New Roman"/>
          <w:sz w:val="24"/>
          <w:szCs w:val="24"/>
        </w:rPr>
        <w:t>)</w:t>
      </w:r>
      <w:r w:rsidR="004E612A">
        <w:rPr>
          <w:rFonts w:ascii="Times New Roman" w:hAnsi="Times New Roman"/>
          <w:sz w:val="24"/>
          <w:szCs w:val="24"/>
        </w:rPr>
        <w:t>]</w:t>
      </w:r>
      <w:r>
        <w:rPr>
          <w:rFonts w:ascii="Times New Roman" w:hAnsi="Times New Roman"/>
          <w:sz w:val="24"/>
          <w:szCs w:val="24"/>
        </w:rPr>
        <w:t xml:space="preserve"> must be put in place</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Relationship between non-financial and financial processes can be developed to monitor and confirm processes</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Business processes are so rapid that firms may fail or processes collapse before management notices and auditors verify</w:t>
      </w:r>
    </w:p>
    <w:p w:rsidR="00025230" w:rsidRDefault="00025230" w:rsidP="001D6084">
      <w:pPr>
        <w:pStyle w:val="ListParagraph"/>
        <w:numPr>
          <w:ilvl w:val="0"/>
          <w:numId w:val="6"/>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Etc, etc, etc</w:t>
      </w:r>
    </w:p>
    <w:p w:rsidR="00025230" w:rsidRDefault="00025230" w:rsidP="001D608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view of these factors</w:t>
      </w:r>
      <w:r w:rsidR="00580FCD">
        <w:rPr>
          <w:rFonts w:ascii="Times New Roman" w:hAnsi="Times New Roman"/>
          <w:sz w:val="24"/>
          <w:szCs w:val="24"/>
        </w:rPr>
        <w:t>,</w:t>
      </w:r>
      <w:r>
        <w:rPr>
          <w:rFonts w:ascii="Times New Roman" w:hAnsi="Times New Roman"/>
          <w:sz w:val="24"/>
          <w:szCs w:val="24"/>
        </w:rPr>
        <w:t xml:space="preserve"> an evolutionary approach for audit improvement may not be appropriate</w:t>
      </w:r>
      <w:r w:rsidR="00580FCD">
        <w:rPr>
          <w:rFonts w:ascii="Times New Roman" w:hAnsi="Times New Roman"/>
          <w:sz w:val="24"/>
          <w:szCs w:val="24"/>
        </w:rPr>
        <w:t>,</w:t>
      </w:r>
      <w:r>
        <w:rPr>
          <w:rFonts w:ascii="Times New Roman" w:hAnsi="Times New Roman"/>
          <w:sz w:val="24"/>
          <w:szCs w:val="24"/>
        </w:rPr>
        <w:t xml:space="preserve"> but a full reengineering </w:t>
      </w:r>
      <w:r w:rsidR="00A75653">
        <w:rPr>
          <w:rFonts w:ascii="Times New Roman" w:hAnsi="Times New Roman"/>
          <w:sz w:val="24"/>
          <w:szCs w:val="24"/>
        </w:rPr>
        <w:t>(Hammer, 1990</w:t>
      </w:r>
      <w:r>
        <w:rPr>
          <w:rFonts w:ascii="Times New Roman" w:hAnsi="Times New Roman"/>
          <w:sz w:val="24"/>
          <w:szCs w:val="24"/>
        </w:rPr>
        <w:t xml:space="preserve">) is necessary. One </w:t>
      </w:r>
      <w:r w:rsidR="00C44425">
        <w:rPr>
          <w:rFonts w:ascii="Times New Roman" w:hAnsi="Times New Roman"/>
          <w:sz w:val="24"/>
          <w:szCs w:val="24"/>
        </w:rPr>
        <w:t>of the problems, as denoted by C</w:t>
      </w:r>
      <w:r>
        <w:rPr>
          <w:rFonts w:ascii="Times New Roman" w:hAnsi="Times New Roman"/>
          <w:sz w:val="24"/>
          <w:szCs w:val="24"/>
        </w:rPr>
        <w:t>hristensen, is that organizations will tend to fail rather than cope with disruptive technology</w:t>
      </w:r>
      <w:r w:rsidR="00580FCD">
        <w:rPr>
          <w:rFonts w:ascii="Times New Roman" w:hAnsi="Times New Roman"/>
          <w:sz w:val="24"/>
          <w:szCs w:val="24"/>
        </w:rPr>
        <w:t>,</w:t>
      </w:r>
      <w:r>
        <w:rPr>
          <w:rFonts w:ascii="Times New Roman" w:hAnsi="Times New Roman"/>
          <w:sz w:val="24"/>
          <w:szCs w:val="24"/>
        </w:rPr>
        <w:t xml:space="preserve"> and the reengineered audit is such </w:t>
      </w:r>
      <w:r w:rsidR="00580FCD">
        <w:rPr>
          <w:rFonts w:ascii="Times New Roman" w:hAnsi="Times New Roman"/>
          <w:sz w:val="24"/>
          <w:szCs w:val="24"/>
        </w:rPr>
        <w:t xml:space="preserve">a </w:t>
      </w:r>
      <w:r>
        <w:rPr>
          <w:rFonts w:ascii="Times New Roman" w:hAnsi="Times New Roman"/>
          <w:sz w:val="24"/>
          <w:szCs w:val="24"/>
        </w:rPr>
        <w:t xml:space="preserve">disruptive process as it violates many of the </w:t>
      </w:r>
      <w:r w:rsidR="00C44425">
        <w:rPr>
          <w:rFonts w:ascii="Times New Roman" w:hAnsi="Times New Roman"/>
          <w:sz w:val="24"/>
          <w:szCs w:val="24"/>
        </w:rPr>
        <w:t>axioms of the t</w:t>
      </w:r>
      <w:r>
        <w:rPr>
          <w:rFonts w:ascii="Times New Roman" w:hAnsi="Times New Roman"/>
          <w:sz w:val="24"/>
          <w:szCs w:val="24"/>
        </w:rPr>
        <w:t xml:space="preserve">raditional audit </w:t>
      </w:r>
      <w:r w:rsidR="00C97351">
        <w:rPr>
          <w:rFonts w:ascii="Times New Roman" w:hAnsi="Times New Roman"/>
          <w:sz w:val="24"/>
          <w:szCs w:val="24"/>
        </w:rPr>
        <w:t>method (</w:t>
      </w:r>
      <w:r w:rsidRPr="00AB56D1">
        <w:rPr>
          <w:rFonts w:ascii="Times New Roman" w:hAnsi="Times New Roman"/>
          <w:b/>
          <w:sz w:val="24"/>
          <w:szCs w:val="24"/>
        </w:rPr>
        <w:t>TAM</w:t>
      </w:r>
      <w:r>
        <w:rPr>
          <w:rFonts w:ascii="Times New Roman" w:hAnsi="Times New Roman"/>
          <w:sz w:val="24"/>
          <w:szCs w:val="24"/>
        </w:rPr>
        <w:t>). Furthermore</w:t>
      </w:r>
      <w:r w:rsidR="00580FCD">
        <w:rPr>
          <w:rFonts w:ascii="Times New Roman" w:hAnsi="Times New Roman"/>
          <w:sz w:val="24"/>
          <w:szCs w:val="24"/>
        </w:rPr>
        <w:t>,</w:t>
      </w:r>
      <w:r>
        <w:rPr>
          <w:rFonts w:ascii="Times New Roman" w:hAnsi="Times New Roman"/>
          <w:sz w:val="24"/>
          <w:szCs w:val="24"/>
        </w:rPr>
        <w:t xml:space="preserve"> there is business being performed and it relies on assurances (although with little but psychological value) to be continued.</w:t>
      </w:r>
      <w:r w:rsidR="004E612A">
        <w:rPr>
          <w:rFonts w:ascii="Times New Roman" w:hAnsi="Times New Roman"/>
          <w:sz w:val="24"/>
          <w:szCs w:val="24"/>
        </w:rPr>
        <w:t xml:space="preserve"> Byrnes et a</w:t>
      </w:r>
      <w:r w:rsidR="00432AE0">
        <w:rPr>
          <w:rFonts w:ascii="Times New Roman" w:hAnsi="Times New Roman" w:hint="eastAsia"/>
          <w:sz w:val="24"/>
          <w:szCs w:val="24"/>
          <w:lang w:eastAsia="zh-CN"/>
        </w:rPr>
        <w:t>l</w:t>
      </w:r>
      <w:r w:rsidR="004E612A">
        <w:rPr>
          <w:rFonts w:ascii="Times New Roman" w:hAnsi="Times New Roman"/>
          <w:sz w:val="24"/>
          <w:szCs w:val="24"/>
        </w:rPr>
        <w:t xml:space="preserve"> (2013)</w:t>
      </w:r>
      <w:r>
        <w:rPr>
          <w:rFonts w:ascii="Times New Roman" w:hAnsi="Times New Roman"/>
          <w:sz w:val="24"/>
          <w:szCs w:val="24"/>
        </w:rPr>
        <w:t xml:space="preserve"> </w:t>
      </w:r>
      <w:r w:rsidR="00987B46">
        <w:rPr>
          <w:rFonts w:ascii="Times New Roman" w:hAnsi="Times New Roman"/>
          <w:sz w:val="24"/>
          <w:szCs w:val="24"/>
        </w:rPr>
        <w:t xml:space="preserve">discuss the needs of future audit and the problem with short term palliative measures that actually </w:t>
      </w:r>
      <w:r w:rsidR="00580FCD">
        <w:rPr>
          <w:rFonts w:ascii="Times New Roman" w:hAnsi="Times New Roman"/>
          <w:sz w:val="24"/>
          <w:szCs w:val="24"/>
        </w:rPr>
        <w:t>fail to</w:t>
      </w:r>
      <w:r w:rsidR="00987B46">
        <w:rPr>
          <w:rFonts w:ascii="Times New Roman" w:hAnsi="Times New Roman"/>
          <w:sz w:val="24"/>
          <w:szCs w:val="24"/>
        </w:rPr>
        <w:t xml:space="preserve"> improve the long term quality of the audit process.</w:t>
      </w:r>
    </w:p>
    <w:p w:rsidR="00025230" w:rsidRDefault="00025230" w:rsidP="001D6084">
      <w:pPr>
        <w:autoSpaceDE w:val="0"/>
        <w:autoSpaceDN w:val="0"/>
        <w:adjustRightInd w:val="0"/>
        <w:spacing w:after="0" w:line="360" w:lineRule="auto"/>
        <w:jc w:val="both"/>
        <w:rPr>
          <w:rFonts w:ascii="Times New Roman" w:hAnsi="Times New Roman"/>
          <w:sz w:val="24"/>
          <w:szCs w:val="24"/>
        </w:rPr>
      </w:pPr>
    </w:p>
    <w:p w:rsidR="00025230" w:rsidRPr="00B8410F" w:rsidRDefault="00025230" w:rsidP="001D6084">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ab/>
        <w:t xml:space="preserve">The core concept in dealing with the TMU issues is </w:t>
      </w:r>
      <w:r w:rsidR="00580FCD">
        <w:rPr>
          <w:rFonts w:ascii="Times New Roman" w:hAnsi="Times New Roman"/>
          <w:sz w:val="24"/>
          <w:szCs w:val="24"/>
        </w:rPr>
        <w:t xml:space="preserve">that </w:t>
      </w:r>
      <w:r>
        <w:rPr>
          <w:rFonts w:ascii="Times New Roman" w:hAnsi="Times New Roman"/>
          <w:sz w:val="24"/>
          <w:szCs w:val="24"/>
        </w:rPr>
        <w:t>rapid</w:t>
      </w:r>
      <w:r w:rsidR="00580FCD">
        <w:rPr>
          <w:rFonts w:ascii="Times New Roman" w:hAnsi="Times New Roman"/>
          <w:sz w:val="24"/>
          <w:szCs w:val="24"/>
        </w:rPr>
        <w:t>,</w:t>
      </w:r>
      <w:r>
        <w:rPr>
          <w:rFonts w:ascii="Times New Roman" w:hAnsi="Times New Roman"/>
          <w:sz w:val="24"/>
          <w:szCs w:val="24"/>
        </w:rPr>
        <w:t xml:space="preserve"> progressive</w:t>
      </w:r>
      <w:r w:rsidR="00580FCD">
        <w:rPr>
          <w:rFonts w:ascii="Times New Roman" w:hAnsi="Times New Roman"/>
          <w:sz w:val="24"/>
          <w:szCs w:val="24"/>
        </w:rPr>
        <w:t>,</w:t>
      </w:r>
      <w:r>
        <w:rPr>
          <w:rFonts w:ascii="Times New Roman" w:hAnsi="Times New Roman"/>
          <w:sz w:val="24"/>
          <w:szCs w:val="24"/>
        </w:rPr>
        <w:t xml:space="preserve"> </w:t>
      </w:r>
      <w:r w:rsidR="00987B46">
        <w:rPr>
          <w:rFonts w:ascii="Times New Roman" w:hAnsi="Times New Roman"/>
          <w:sz w:val="24"/>
          <w:szCs w:val="24"/>
        </w:rPr>
        <w:t>reengineered</w:t>
      </w:r>
      <w:r>
        <w:rPr>
          <w:rFonts w:ascii="Times New Roman" w:hAnsi="Times New Roman"/>
          <w:sz w:val="24"/>
          <w:szCs w:val="24"/>
        </w:rPr>
        <w:t xml:space="preserve"> assurance and its implementation </w:t>
      </w:r>
      <w:r w:rsidR="00580FCD">
        <w:rPr>
          <w:rFonts w:ascii="Times New Roman" w:hAnsi="Times New Roman"/>
          <w:sz w:val="24"/>
          <w:szCs w:val="24"/>
        </w:rPr>
        <w:t xml:space="preserve">involves </w:t>
      </w:r>
      <w:r>
        <w:rPr>
          <w:rFonts w:ascii="Times New Roman" w:hAnsi="Times New Roman"/>
          <w:sz w:val="24"/>
          <w:szCs w:val="24"/>
        </w:rPr>
        <w:t>disruptive technology. US manufacturing that one time occupied about 40</w:t>
      </w:r>
      <w:r w:rsidR="00580FCD">
        <w:rPr>
          <w:rFonts w:ascii="Times New Roman" w:hAnsi="Times New Roman"/>
          <w:sz w:val="24"/>
          <w:szCs w:val="24"/>
        </w:rPr>
        <w:t xml:space="preserve">percent </w:t>
      </w:r>
      <w:r>
        <w:rPr>
          <w:rFonts w:ascii="Times New Roman" w:hAnsi="Times New Roman"/>
          <w:sz w:val="24"/>
          <w:szCs w:val="24"/>
        </w:rPr>
        <w:t xml:space="preserve">of the workforce </w:t>
      </w:r>
      <w:r w:rsidR="002A7DA5">
        <w:rPr>
          <w:rFonts w:ascii="Times New Roman" w:hAnsi="Times New Roman"/>
          <w:sz w:val="24"/>
          <w:szCs w:val="24"/>
        </w:rPr>
        <w:t>has</w:t>
      </w:r>
      <w:r>
        <w:rPr>
          <w:rFonts w:ascii="Times New Roman" w:hAnsi="Times New Roman"/>
          <w:sz w:val="24"/>
          <w:szCs w:val="24"/>
        </w:rPr>
        <w:t xml:space="preserve"> gone down to very low numbers and currently is experiencing substantive</w:t>
      </w:r>
      <w:r>
        <w:rPr>
          <w:rStyle w:val="FootnoteReference"/>
          <w:rFonts w:ascii="Times New Roman" w:hAnsi="Times New Roman"/>
          <w:sz w:val="24"/>
          <w:szCs w:val="24"/>
        </w:rPr>
        <w:footnoteReference w:id="2"/>
      </w:r>
      <w:r>
        <w:rPr>
          <w:rFonts w:ascii="Times New Roman" w:hAnsi="Times New Roman"/>
          <w:sz w:val="24"/>
          <w:szCs w:val="24"/>
        </w:rPr>
        <w:t xml:space="preserve"> economic rebound without </w:t>
      </w:r>
      <w:r w:rsidR="00570081">
        <w:rPr>
          <w:rFonts w:ascii="Times New Roman" w:hAnsi="Times New Roman"/>
          <w:sz w:val="24"/>
          <w:szCs w:val="24"/>
        </w:rPr>
        <w:t xml:space="preserve">a </w:t>
      </w:r>
      <w:r>
        <w:rPr>
          <w:rFonts w:ascii="Times New Roman" w:hAnsi="Times New Roman"/>
          <w:sz w:val="24"/>
          <w:szCs w:val="24"/>
        </w:rPr>
        <w:t xml:space="preserve">corresponding increase </w:t>
      </w:r>
      <w:r w:rsidR="00570081">
        <w:rPr>
          <w:rFonts w:ascii="Times New Roman" w:hAnsi="Times New Roman"/>
          <w:sz w:val="24"/>
          <w:szCs w:val="24"/>
        </w:rPr>
        <w:t xml:space="preserve">in </w:t>
      </w:r>
      <w:r>
        <w:rPr>
          <w:rFonts w:ascii="Times New Roman" w:hAnsi="Times New Roman"/>
          <w:sz w:val="24"/>
          <w:szCs w:val="24"/>
        </w:rPr>
        <w:t xml:space="preserve">the labor force. This is being prompted / facilitated by a second generation of automation in the factories </w:t>
      </w:r>
      <w:r w:rsidR="00570081">
        <w:rPr>
          <w:rFonts w:ascii="Times New Roman" w:hAnsi="Times New Roman"/>
          <w:sz w:val="24"/>
          <w:szCs w:val="24"/>
        </w:rPr>
        <w:t>primarily entailing</w:t>
      </w:r>
      <w:r>
        <w:rPr>
          <w:rFonts w:ascii="Times New Roman" w:hAnsi="Times New Roman"/>
          <w:sz w:val="24"/>
          <w:szCs w:val="24"/>
        </w:rPr>
        <w:t xml:space="preserve"> the adoption of robots as replacement</w:t>
      </w:r>
      <w:r w:rsidR="00570081">
        <w:rPr>
          <w:rFonts w:ascii="Times New Roman" w:hAnsi="Times New Roman"/>
          <w:sz w:val="24"/>
          <w:szCs w:val="24"/>
        </w:rPr>
        <w:t>s</w:t>
      </w:r>
      <w:r>
        <w:rPr>
          <w:rFonts w:ascii="Times New Roman" w:hAnsi="Times New Roman"/>
          <w:sz w:val="24"/>
          <w:szCs w:val="24"/>
        </w:rPr>
        <w:t xml:space="preserve"> </w:t>
      </w:r>
      <w:r w:rsidR="00570081">
        <w:rPr>
          <w:rFonts w:ascii="Times New Roman" w:hAnsi="Times New Roman"/>
          <w:sz w:val="24"/>
          <w:szCs w:val="24"/>
        </w:rPr>
        <w:t xml:space="preserve">for </w:t>
      </w:r>
      <w:r>
        <w:rPr>
          <w:rFonts w:ascii="Times New Roman" w:hAnsi="Times New Roman"/>
          <w:sz w:val="24"/>
          <w:szCs w:val="24"/>
        </w:rPr>
        <w:t>human being</w:t>
      </w:r>
      <w:r w:rsidR="00570081">
        <w:rPr>
          <w:rFonts w:ascii="Times New Roman" w:hAnsi="Times New Roman"/>
          <w:sz w:val="24"/>
          <w:szCs w:val="24"/>
        </w:rPr>
        <w:t>s</w:t>
      </w:r>
      <w:r>
        <w:rPr>
          <w:rFonts w:ascii="Times New Roman" w:hAnsi="Times New Roman"/>
          <w:sz w:val="24"/>
          <w:szCs w:val="24"/>
        </w:rPr>
        <w:t xml:space="preserve">. The aforementioned work by </w:t>
      </w:r>
      <w:r w:rsidR="00987B46">
        <w:rPr>
          <w:rFonts w:ascii="Times New Roman" w:hAnsi="Times New Roman"/>
          <w:sz w:val="24"/>
          <w:szCs w:val="24"/>
        </w:rPr>
        <w:t>Brynjo</w:t>
      </w:r>
      <w:r w:rsidR="00C87344">
        <w:rPr>
          <w:rFonts w:ascii="Times New Roman" w:hAnsi="Times New Roman"/>
          <w:sz w:val="24"/>
          <w:szCs w:val="24"/>
        </w:rPr>
        <w:t>l</w:t>
      </w:r>
      <w:r w:rsidR="00987B46">
        <w:rPr>
          <w:rFonts w:ascii="Times New Roman" w:hAnsi="Times New Roman"/>
          <w:sz w:val="24"/>
          <w:szCs w:val="24"/>
        </w:rPr>
        <w:t>fsson and</w:t>
      </w:r>
      <w:r w:rsidR="00F21EAB">
        <w:rPr>
          <w:rFonts w:ascii="Times New Roman" w:hAnsi="Times New Roman"/>
          <w:sz w:val="24"/>
          <w:szCs w:val="24"/>
        </w:rPr>
        <w:t xml:space="preserve"> </w:t>
      </w:r>
      <w:r>
        <w:rPr>
          <w:rFonts w:ascii="Times New Roman" w:hAnsi="Times New Roman"/>
          <w:sz w:val="24"/>
          <w:szCs w:val="24"/>
        </w:rPr>
        <w:t>McAfee</w:t>
      </w:r>
      <w:r w:rsidR="00F21EAB">
        <w:rPr>
          <w:rFonts w:ascii="Times New Roman" w:hAnsi="Times New Roman"/>
          <w:sz w:val="24"/>
          <w:szCs w:val="24"/>
        </w:rPr>
        <w:t>;</w:t>
      </w:r>
      <w:r>
        <w:rPr>
          <w:rFonts w:ascii="Times New Roman" w:hAnsi="Times New Roman"/>
          <w:sz w:val="24"/>
          <w:szCs w:val="24"/>
        </w:rPr>
        <w:t xml:space="preserve"> </w:t>
      </w:r>
      <w:r w:rsidR="00F21EAB">
        <w:rPr>
          <w:rFonts w:ascii="Times New Roman" w:hAnsi="Times New Roman"/>
          <w:sz w:val="24"/>
          <w:szCs w:val="24"/>
        </w:rPr>
        <w:t>2011, 2012)</w:t>
      </w:r>
      <w:r>
        <w:rPr>
          <w:rFonts w:ascii="Times New Roman" w:hAnsi="Times New Roman"/>
          <w:sz w:val="24"/>
          <w:szCs w:val="24"/>
        </w:rPr>
        <w:t xml:space="preserve"> makes a series of points that must be considered and adapted to the examination of accounting and assurance. It must however be remembered tha</w:t>
      </w:r>
      <w:r w:rsidR="00A75653">
        <w:rPr>
          <w:rFonts w:ascii="Times New Roman" w:hAnsi="Times New Roman"/>
          <w:sz w:val="24"/>
          <w:szCs w:val="24"/>
        </w:rPr>
        <w:t>t these processes are bitable (V</w:t>
      </w:r>
      <w:r>
        <w:rPr>
          <w:rFonts w:ascii="Times New Roman" w:hAnsi="Times New Roman"/>
          <w:sz w:val="24"/>
          <w:szCs w:val="24"/>
        </w:rPr>
        <w:t>asarhelyi and Greenstein, 2003)</w:t>
      </w:r>
      <w:r w:rsidR="00570081">
        <w:rPr>
          <w:rFonts w:ascii="Times New Roman" w:hAnsi="Times New Roman"/>
          <w:sz w:val="24"/>
          <w:szCs w:val="24"/>
        </w:rPr>
        <w:t>,</w:t>
      </w:r>
      <w:r>
        <w:rPr>
          <w:rFonts w:ascii="Times New Roman" w:hAnsi="Times New Roman"/>
          <w:sz w:val="24"/>
          <w:szCs w:val="24"/>
        </w:rPr>
        <w:t xml:space="preserve"> which makes them a better candidate for automation</w:t>
      </w:r>
      <w:r w:rsidR="00570081">
        <w:rPr>
          <w:rFonts w:ascii="Times New Roman" w:hAnsi="Times New Roman"/>
          <w:sz w:val="24"/>
          <w:szCs w:val="24"/>
        </w:rPr>
        <w:t>.</w:t>
      </w:r>
      <w:r>
        <w:rPr>
          <w:rFonts w:ascii="Times New Roman" w:hAnsi="Times New Roman"/>
          <w:sz w:val="24"/>
          <w:szCs w:val="24"/>
        </w:rPr>
        <w:t xml:space="preserve"> </w:t>
      </w:r>
      <w:r w:rsidR="00570081">
        <w:rPr>
          <w:rFonts w:ascii="Times New Roman" w:hAnsi="Times New Roman"/>
          <w:sz w:val="24"/>
          <w:szCs w:val="24"/>
        </w:rPr>
        <w:t>T</w:t>
      </w:r>
      <w:r>
        <w:rPr>
          <w:rFonts w:ascii="Times New Roman" w:hAnsi="Times New Roman"/>
          <w:sz w:val="24"/>
          <w:szCs w:val="24"/>
        </w:rPr>
        <w:t xml:space="preserve">he </w:t>
      </w:r>
      <w:r w:rsidR="00570081">
        <w:rPr>
          <w:rFonts w:ascii="Times New Roman" w:hAnsi="Times New Roman"/>
          <w:sz w:val="24"/>
          <w:szCs w:val="24"/>
        </w:rPr>
        <w:t xml:space="preserve">associated </w:t>
      </w:r>
      <w:r>
        <w:rPr>
          <w:rFonts w:ascii="Times New Roman" w:hAnsi="Times New Roman"/>
          <w:sz w:val="24"/>
          <w:szCs w:val="24"/>
        </w:rPr>
        <w:t>robot</w:t>
      </w:r>
      <w:r w:rsidR="00F21EAB">
        <w:rPr>
          <w:rFonts w:ascii="Times New Roman" w:hAnsi="Times New Roman"/>
          <w:sz w:val="24"/>
          <w:szCs w:val="24"/>
        </w:rPr>
        <w:t>ics</w:t>
      </w:r>
      <w:r>
        <w:rPr>
          <w:rFonts w:ascii="Times New Roman" w:hAnsi="Times New Roman"/>
          <w:sz w:val="24"/>
          <w:szCs w:val="24"/>
        </w:rPr>
        <w:t xml:space="preserve"> by and large </w:t>
      </w:r>
      <w:r w:rsidR="00570081">
        <w:rPr>
          <w:rFonts w:ascii="Times New Roman" w:hAnsi="Times New Roman"/>
          <w:sz w:val="24"/>
          <w:szCs w:val="24"/>
        </w:rPr>
        <w:t xml:space="preserve">will not </w:t>
      </w:r>
      <w:r>
        <w:rPr>
          <w:rFonts w:ascii="Times New Roman" w:hAnsi="Times New Roman"/>
          <w:sz w:val="24"/>
          <w:szCs w:val="24"/>
        </w:rPr>
        <w:t>be physical</w:t>
      </w:r>
      <w:r w:rsidR="00570081">
        <w:rPr>
          <w:rFonts w:ascii="Times New Roman" w:hAnsi="Times New Roman"/>
          <w:sz w:val="24"/>
          <w:szCs w:val="24"/>
        </w:rPr>
        <w:t xml:space="preserve"> entities,</w:t>
      </w:r>
      <w:r>
        <w:rPr>
          <w:rFonts w:ascii="Times New Roman" w:hAnsi="Times New Roman"/>
          <w:sz w:val="24"/>
          <w:szCs w:val="24"/>
        </w:rPr>
        <w:t xml:space="preserve"> but </w:t>
      </w:r>
      <w:r w:rsidR="00570081">
        <w:rPr>
          <w:rFonts w:ascii="Times New Roman" w:hAnsi="Times New Roman"/>
          <w:sz w:val="24"/>
          <w:szCs w:val="24"/>
        </w:rPr>
        <w:t xml:space="preserve">will be </w:t>
      </w:r>
      <w:r>
        <w:rPr>
          <w:rFonts w:ascii="Times New Roman" w:hAnsi="Times New Roman"/>
          <w:sz w:val="24"/>
          <w:szCs w:val="24"/>
        </w:rPr>
        <w:t>mainly software. These issues are discussed next.</w:t>
      </w:r>
    </w:p>
    <w:p w:rsidR="00025230" w:rsidRDefault="00025230" w:rsidP="001D6084">
      <w:pPr>
        <w:pStyle w:val="Heading3"/>
        <w:spacing w:line="360" w:lineRule="auto"/>
        <w:jc w:val="both"/>
      </w:pPr>
      <w:r>
        <w:t>Automation and Robots in Accounting and Auditing</w:t>
      </w:r>
    </w:p>
    <w:p w:rsidR="00025230" w:rsidRDefault="00025230" w:rsidP="001D6084">
      <w:pPr>
        <w:autoSpaceDE w:val="0"/>
        <w:autoSpaceDN w:val="0"/>
        <w:adjustRightInd w:val="0"/>
        <w:spacing w:after="0" w:line="360" w:lineRule="auto"/>
        <w:ind w:firstLine="720"/>
        <w:jc w:val="both"/>
        <w:rPr>
          <w:rFonts w:ascii="Times New Roman" w:hAnsi="Times New Roman"/>
          <w:sz w:val="24"/>
          <w:szCs w:val="24"/>
        </w:rPr>
      </w:pPr>
    </w:p>
    <w:p w:rsidR="00184078" w:rsidRDefault="00184078" w:rsidP="001D608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Vasarhelyi</w:t>
      </w:r>
      <w:r w:rsidR="000A0FD7">
        <w:rPr>
          <w:rFonts w:ascii="Times New Roman" w:hAnsi="Times New Roman"/>
          <w:sz w:val="24"/>
          <w:szCs w:val="24"/>
        </w:rPr>
        <w:t>, Alles and Williams</w:t>
      </w:r>
      <w:r>
        <w:rPr>
          <w:rFonts w:ascii="Times New Roman" w:hAnsi="Times New Roman"/>
          <w:sz w:val="24"/>
          <w:szCs w:val="24"/>
        </w:rPr>
        <w:t xml:space="preserve"> (2010) discuss the real time economy, and its key motivation wh</w:t>
      </w:r>
      <w:r w:rsidR="007832AA">
        <w:rPr>
          <w:rFonts w:ascii="Times New Roman" w:hAnsi="Times New Roman"/>
          <w:sz w:val="24"/>
          <w:szCs w:val="24"/>
        </w:rPr>
        <w:t>i</w:t>
      </w:r>
      <w:r>
        <w:rPr>
          <w:rFonts w:ascii="Times New Roman" w:hAnsi="Times New Roman"/>
          <w:sz w:val="24"/>
          <w:szCs w:val="24"/>
        </w:rPr>
        <w:t>ch</w:t>
      </w:r>
      <w:r w:rsidR="007832AA">
        <w:rPr>
          <w:rFonts w:ascii="Times New Roman" w:hAnsi="Times New Roman"/>
          <w:sz w:val="24"/>
          <w:szCs w:val="24"/>
        </w:rPr>
        <w:t xml:space="preserve"> </w:t>
      </w:r>
      <w:r>
        <w:rPr>
          <w:rFonts w:ascii="Times New Roman" w:hAnsi="Times New Roman"/>
          <w:sz w:val="24"/>
          <w:szCs w:val="24"/>
        </w:rPr>
        <w:t xml:space="preserve">is the reduction of latency for the purpose of reducing the occupation of capital. </w:t>
      </w:r>
      <w:r w:rsidR="000A0FD7">
        <w:rPr>
          <w:rFonts w:ascii="Times New Roman" w:hAnsi="Times New Roman"/>
          <w:sz w:val="24"/>
          <w:szCs w:val="24"/>
        </w:rPr>
        <w:t xml:space="preserve">Essential to the reduction of latency is the replacement of human work for automation. Automation is dimensionally faster </w:t>
      </w:r>
      <w:r w:rsidR="000A4165">
        <w:rPr>
          <w:rFonts w:ascii="Times New Roman" w:hAnsi="Times New Roman"/>
          <w:sz w:val="24"/>
          <w:szCs w:val="24"/>
        </w:rPr>
        <w:t xml:space="preserve">and more precise </w:t>
      </w:r>
      <w:r w:rsidR="000A0FD7">
        <w:rPr>
          <w:rFonts w:ascii="Times New Roman" w:hAnsi="Times New Roman"/>
          <w:sz w:val="24"/>
          <w:szCs w:val="24"/>
        </w:rPr>
        <w:t>than human work</w:t>
      </w:r>
      <w:r w:rsidR="000A4165">
        <w:rPr>
          <w:rFonts w:ascii="Times New Roman" w:hAnsi="Times New Roman"/>
          <w:sz w:val="24"/>
          <w:szCs w:val="24"/>
        </w:rPr>
        <w:t xml:space="preserve">, although unstructured decision making and decision implementation, even with extant AI technology, are not readily implementable. </w:t>
      </w:r>
      <w:r w:rsidR="000A4165">
        <w:rPr>
          <w:rFonts w:ascii="Times New Roman" w:hAnsi="Times New Roman"/>
          <w:sz w:val="24"/>
          <w:szCs w:val="24"/>
        </w:rPr>
        <w:fldChar w:fldCharType="begin"/>
      </w:r>
      <w:r w:rsidR="000A4165">
        <w:rPr>
          <w:rFonts w:ascii="Times New Roman" w:hAnsi="Times New Roman"/>
          <w:sz w:val="24"/>
          <w:szCs w:val="24"/>
        </w:rPr>
        <w:instrText xml:space="preserve"> REF _Ref352422560 \h </w:instrText>
      </w:r>
      <w:r w:rsidR="001D6084">
        <w:rPr>
          <w:rFonts w:ascii="Times New Roman" w:hAnsi="Times New Roman"/>
          <w:sz w:val="24"/>
          <w:szCs w:val="24"/>
        </w:rPr>
        <w:instrText xml:space="preserve"> \* MERGEFORMAT </w:instrText>
      </w:r>
      <w:r w:rsidR="000A4165">
        <w:rPr>
          <w:rFonts w:ascii="Times New Roman" w:hAnsi="Times New Roman"/>
          <w:sz w:val="24"/>
          <w:szCs w:val="24"/>
        </w:rPr>
      </w:r>
      <w:r w:rsidR="000A4165">
        <w:rPr>
          <w:rFonts w:ascii="Times New Roman" w:hAnsi="Times New Roman"/>
          <w:sz w:val="24"/>
          <w:szCs w:val="24"/>
        </w:rPr>
        <w:fldChar w:fldCharType="separate"/>
      </w:r>
      <w:r w:rsidR="00C92099">
        <w:t xml:space="preserve">Figure </w:t>
      </w:r>
      <w:r w:rsidR="00C92099">
        <w:rPr>
          <w:noProof/>
        </w:rPr>
        <w:t>2</w:t>
      </w:r>
      <w:r w:rsidR="000A4165">
        <w:rPr>
          <w:rFonts w:ascii="Times New Roman" w:hAnsi="Times New Roman"/>
          <w:sz w:val="24"/>
          <w:szCs w:val="24"/>
        </w:rPr>
        <w:fldChar w:fldCharType="end"/>
      </w:r>
      <w:r w:rsidR="000A4165">
        <w:rPr>
          <w:rFonts w:ascii="Times New Roman" w:hAnsi="Times New Roman"/>
          <w:sz w:val="24"/>
          <w:szCs w:val="24"/>
        </w:rPr>
        <w:t xml:space="preserve"> lays out the real-time economy stages that are subject to automation.</w:t>
      </w:r>
    </w:p>
    <w:p w:rsidR="00025230" w:rsidRDefault="00112575" w:rsidP="00712C9E">
      <w:pPr>
        <w:rPr>
          <w:rFonts w:ascii="Times New Roman" w:hAnsi="Times New Roman"/>
          <w:sz w:val="24"/>
          <w:szCs w:val="24"/>
        </w:rPr>
      </w:pPr>
      <w:r>
        <w:rPr>
          <w:noProof/>
        </w:rPr>
        <w:drawing>
          <wp:inline distT="0" distB="0" distL="0" distR="0" wp14:anchorId="23A744AB" wp14:editId="6302208C">
            <wp:extent cx="5010150" cy="13906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9120" t="45067" r="6720" b="16000"/>
                    <a:stretch>
                      <a:fillRect/>
                    </a:stretch>
                  </pic:blipFill>
                  <pic:spPr bwMode="auto">
                    <a:xfrm>
                      <a:off x="0" y="0"/>
                      <a:ext cx="5010150" cy="1390650"/>
                    </a:xfrm>
                    <a:prstGeom prst="rect">
                      <a:avLst/>
                    </a:prstGeom>
                    <a:noFill/>
                    <a:ln>
                      <a:noFill/>
                    </a:ln>
                  </pic:spPr>
                </pic:pic>
              </a:graphicData>
            </a:graphic>
          </wp:inline>
        </w:drawing>
      </w:r>
    </w:p>
    <w:p w:rsidR="00025230" w:rsidRDefault="007832AA" w:rsidP="001D6084">
      <w:pPr>
        <w:pStyle w:val="Caption"/>
        <w:spacing w:line="360" w:lineRule="auto"/>
        <w:jc w:val="both"/>
        <w:rPr>
          <w:rFonts w:cs="Calibri"/>
        </w:rPr>
      </w:pPr>
      <w:bookmarkStart w:id="3" w:name="_Ref352422560"/>
      <w:r>
        <w:t xml:space="preserve">Figure </w:t>
      </w:r>
      <w:r w:rsidR="00BD2BCD">
        <w:fldChar w:fldCharType="begin"/>
      </w:r>
      <w:r w:rsidR="00BD2BCD">
        <w:instrText xml:space="preserve"> SEQ Figure \* ARABIC </w:instrText>
      </w:r>
      <w:r w:rsidR="00BD2BCD">
        <w:fldChar w:fldCharType="separate"/>
      </w:r>
      <w:r w:rsidR="00C92099">
        <w:rPr>
          <w:noProof/>
        </w:rPr>
        <w:t>2</w:t>
      </w:r>
      <w:r w:rsidR="00BD2BCD">
        <w:rPr>
          <w:noProof/>
        </w:rPr>
        <w:fldChar w:fldCharType="end"/>
      </w:r>
      <w:bookmarkEnd w:id="3"/>
      <w:r>
        <w:t>: Business Processes and Latency</w:t>
      </w:r>
      <w:r w:rsidR="000A0FD7">
        <w:t xml:space="preserve"> (Vasarhelyi, Alles &amp; Williams, 2010)</w:t>
      </w:r>
    </w:p>
    <w:p w:rsidR="00F337AB" w:rsidRDefault="00F337AB" w:rsidP="001D6084">
      <w:pPr>
        <w:autoSpaceDE w:val="0"/>
        <w:autoSpaceDN w:val="0"/>
        <w:adjustRightInd w:val="0"/>
        <w:spacing w:after="0" w:line="360" w:lineRule="auto"/>
        <w:ind w:firstLine="720"/>
        <w:jc w:val="both"/>
        <w:rPr>
          <w:rFonts w:ascii="Times New Roman" w:hAnsi="Times New Roman"/>
          <w:sz w:val="24"/>
          <w:szCs w:val="24"/>
        </w:rPr>
      </w:pPr>
      <w:r w:rsidRPr="00067629">
        <w:rPr>
          <w:rFonts w:ascii="Times New Roman" w:hAnsi="Times New Roman"/>
          <w:sz w:val="24"/>
          <w:szCs w:val="24"/>
        </w:rPr>
        <w:lastRenderedPageBreak/>
        <w:t>Brynjolfsson</w:t>
      </w:r>
      <w:r>
        <w:rPr>
          <w:rFonts w:ascii="Times New Roman" w:hAnsi="Times New Roman"/>
          <w:sz w:val="24"/>
          <w:szCs w:val="24"/>
        </w:rPr>
        <w:t xml:space="preserve"> and</w:t>
      </w:r>
      <w:r w:rsidRPr="00067629">
        <w:rPr>
          <w:rFonts w:ascii="Times New Roman" w:hAnsi="Times New Roman"/>
          <w:sz w:val="24"/>
          <w:szCs w:val="24"/>
        </w:rPr>
        <w:t xml:space="preserve"> McAfee</w:t>
      </w:r>
      <w:r>
        <w:rPr>
          <w:rFonts w:ascii="Times New Roman" w:hAnsi="Times New Roman"/>
          <w:sz w:val="24"/>
          <w:szCs w:val="24"/>
        </w:rPr>
        <w:t xml:space="preserve"> </w:t>
      </w:r>
      <w:r w:rsidRPr="00067629">
        <w:rPr>
          <w:rFonts w:ascii="Times New Roman" w:hAnsi="Times New Roman"/>
          <w:sz w:val="24"/>
          <w:szCs w:val="24"/>
        </w:rPr>
        <w:t>(2011</w:t>
      </w:r>
      <w:r>
        <w:rPr>
          <w:rFonts w:ascii="Times New Roman" w:hAnsi="Times New Roman"/>
          <w:sz w:val="24"/>
          <w:szCs w:val="24"/>
        </w:rPr>
        <w:t>) prescribe that organizations should “</w:t>
      </w:r>
      <w:r w:rsidRPr="00067629">
        <w:rPr>
          <w:rFonts w:ascii="Times New Roman" w:hAnsi="Times New Roman"/>
          <w:i/>
          <w:sz w:val="24"/>
          <w:szCs w:val="24"/>
        </w:rPr>
        <w:t xml:space="preserve">Create </w:t>
      </w:r>
      <w:r w:rsidR="00570081">
        <w:rPr>
          <w:rFonts w:ascii="Times New Roman" w:hAnsi="Times New Roman"/>
          <w:i/>
          <w:sz w:val="24"/>
          <w:szCs w:val="24"/>
        </w:rPr>
        <w:t>-p</w:t>
      </w:r>
      <w:r w:rsidR="00570081" w:rsidRPr="00067629">
        <w:rPr>
          <w:rFonts w:ascii="Times New Roman" w:hAnsi="Times New Roman"/>
          <w:i/>
          <w:sz w:val="24"/>
          <w:szCs w:val="24"/>
        </w:rPr>
        <w:t xml:space="preserve">rocesses </w:t>
      </w:r>
      <w:r w:rsidRPr="00067629">
        <w:rPr>
          <w:rFonts w:ascii="Times New Roman" w:hAnsi="Times New Roman"/>
          <w:i/>
          <w:sz w:val="24"/>
          <w:szCs w:val="24"/>
        </w:rPr>
        <w:t>that combine the speed of technology with human insight</w:t>
      </w:r>
      <w:r>
        <w:rPr>
          <w:rFonts w:ascii="Times New Roman" w:hAnsi="Times New Roman"/>
          <w:sz w:val="24"/>
          <w:szCs w:val="24"/>
        </w:rPr>
        <w:t>”(p.58). Such an approach</w:t>
      </w:r>
      <w:r w:rsidR="00570081">
        <w:rPr>
          <w:rFonts w:ascii="Times New Roman" w:hAnsi="Times New Roman"/>
          <w:sz w:val="24"/>
          <w:szCs w:val="24"/>
        </w:rPr>
        <w:t xml:space="preserve"> </w:t>
      </w:r>
      <w:r>
        <w:rPr>
          <w:rFonts w:ascii="Times New Roman" w:hAnsi="Times New Roman"/>
          <w:sz w:val="24"/>
          <w:szCs w:val="24"/>
        </w:rPr>
        <w:t>in audit automation would preserve the characteristics of professional work</w:t>
      </w:r>
      <w:r w:rsidR="00570081">
        <w:rPr>
          <w:rFonts w:ascii="Times New Roman" w:hAnsi="Times New Roman"/>
          <w:sz w:val="24"/>
          <w:szCs w:val="24"/>
        </w:rPr>
        <w:t>,</w:t>
      </w:r>
      <w:r>
        <w:rPr>
          <w:rFonts w:ascii="Times New Roman" w:hAnsi="Times New Roman"/>
          <w:sz w:val="24"/>
          <w:szCs w:val="24"/>
        </w:rPr>
        <w:t xml:space="preserve"> and</w:t>
      </w:r>
      <w:r w:rsidR="00570081">
        <w:rPr>
          <w:rFonts w:ascii="Times New Roman" w:hAnsi="Times New Roman"/>
          <w:sz w:val="24"/>
          <w:szCs w:val="24"/>
        </w:rPr>
        <w:t>,</w:t>
      </w:r>
      <w:r>
        <w:rPr>
          <w:rFonts w:ascii="Times New Roman" w:hAnsi="Times New Roman"/>
          <w:sz w:val="24"/>
          <w:szCs w:val="24"/>
        </w:rPr>
        <w:t xml:space="preserve"> at the same time</w:t>
      </w:r>
      <w:r w:rsidR="00570081">
        <w:rPr>
          <w:rFonts w:ascii="Times New Roman" w:hAnsi="Times New Roman"/>
          <w:sz w:val="24"/>
          <w:szCs w:val="24"/>
        </w:rPr>
        <w:t>,</w:t>
      </w:r>
      <w:r>
        <w:rPr>
          <w:rFonts w:ascii="Times New Roman" w:hAnsi="Times New Roman"/>
          <w:sz w:val="24"/>
          <w:szCs w:val="24"/>
        </w:rPr>
        <w:t xml:space="preserve"> use the benefits of automation. The dilemma is the fact that the audit eco-system of the future will have to be by and large automated to deal with the volume of data and the speed of the process. Consequently</w:t>
      </w:r>
      <w:r w:rsidR="00570081">
        <w:rPr>
          <w:rFonts w:ascii="Times New Roman" w:hAnsi="Times New Roman"/>
          <w:sz w:val="24"/>
          <w:szCs w:val="24"/>
        </w:rPr>
        <w:t>,</w:t>
      </w:r>
      <w:r>
        <w:rPr>
          <w:rFonts w:ascii="Times New Roman" w:hAnsi="Times New Roman"/>
          <w:sz w:val="24"/>
          <w:szCs w:val="24"/>
        </w:rPr>
        <w:t xml:space="preserve"> human collaboration with machines will have to be </w:t>
      </w:r>
      <w:r w:rsidR="00F21EAB">
        <w:rPr>
          <w:rFonts w:ascii="Times New Roman" w:hAnsi="Times New Roman"/>
          <w:sz w:val="24"/>
          <w:szCs w:val="24"/>
        </w:rPr>
        <w:t>mainly</w:t>
      </w:r>
      <w:r>
        <w:rPr>
          <w:rFonts w:ascii="Times New Roman" w:hAnsi="Times New Roman"/>
          <w:sz w:val="24"/>
          <w:szCs w:val="24"/>
        </w:rPr>
        <w:t xml:space="preserve"> formalized </w:t>
      </w:r>
      <w:r w:rsidR="00F21EAB">
        <w:rPr>
          <w:rFonts w:ascii="Times New Roman" w:hAnsi="Times New Roman"/>
          <w:sz w:val="24"/>
          <w:szCs w:val="24"/>
        </w:rPr>
        <w:t>with some judgmental components concentrated in t</w:t>
      </w:r>
      <w:r>
        <w:rPr>
          <w:rFonts w:ascii="Times New Roman" w:hAnsi="Times New Roman"/>
          <w:sz w:val="24"/>
          <w:szCs w:val="24"/>
        </w:rPr>
        <w:t xml:space="preserve">he higher </w:t>
      </w:r>
      <w:r w:rsidR="00570081">
        <w:rPr>
          <w:rFonts w:ascii="Times New Roman" w:hAnsi="Times New Roman"/>
          <w:sz w:val="24"/>
          <w:szCs w:val="24"/>
        </w:rPr>
        <w:t xml:space="preserve">level </w:t>
      </w:r>
      <w:r>
        <w:rPr>
          <w:rFonts w:ascii="Times New Roman" w:hAnsi="Times New Roman"/>
          <w:sz w:val="24"/>
          <w:szCs w:val="24"/>
        </w:rPr>
        <w:t>process</w:t>
      </w:r>
      <w:r w:rsidR="00F21EAB">
        <w:rPr>
          <w:rFonts w:ascii="Times New Roman" w:hAnsi="Times New Roman"/>
          <w:sz w:val="24"/>
          <w:szCs w:val="24"/>
        </w:rPr>
        <w:t>es</w:t>
      </w:r>
      <w:r>
        <w:rPr>
          <w:rFonts w:ascii="Times New Roman" w:hAnsi="Times New Roman"/>
          <w:sz w:val="24"/>
          <w:szCs w:val="24"/>
        </w:rPr>
        <w:t xml:space="preserve">. </w:t>
      </w:r>
    </w:p>
    <w:p w:rsidR="007832AA" w:rsidRDefault="00312F73" w:rsidP="001D608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Teeter and Brenan (20</w:t>
      </w:r>
      <w:r w:rsidR="00657B01">
        <w:rPr>
          <w:rFonts w:ascii="Times New Roman" w:hAnsi="Times New Roman"/>
          <w:sz w:val="24"/>
          <w:szCs w:val="24"/>
        </w:rPr>
        <w:t>08</w:t>
      </w:r>
      <w:r>
        <w:rPr>
          <w:rFonts w:ascii="Times New Roman" w:hAnsi="Times New Roman"/>
          <w:sz w:val="24"/>
          <w:szCs w:val="24"/>
        </w:rPr>
        <w:t xml:space="preserve">) used Siemens’ audit action sheets, that describe in detail steps to be taken in a SAP audit, to evaluate the potential methods of automation. </w:t>
      </w:r>
      <w:r w:rsidR="00657B01">
        <w:rPr>
          <w:rFonts w:ascii="Times New Roman" w:hAnsi="Times New Roman"/>
          <w:sz w:val="24"/>
          <w:szCs w:val="24"/>
        </w:rPr>
        <w:t>Vasarhelyi et al</w:t>
      </w:r>
      <w:r>
        <w:rPr>
          <w:rFonts w:ascii="Times New Roman" w:hAnsi="Times New Roman"/>
          <w:sz w:val="24"/>
          <w:szCs w:val="24"/>
        </w:rPr>
        <w:t xml:space="preserve"> (201</w:t>
      </w:r>
      <w:r w:rsidR="00657B01">
        <w:rPr>
          <w:rFonts w:ascii="Times New Roman" w:hAnsi="Times New Roman"/>
          <w:sz w:val="24"/>
          <w:szCs w:val="24"/>
        </w:rPr>
        <w:t>1</w:t>
      </w:r>
      <w:r>
        <w:rPr>
          <w:rFonts w:ascii="Times New Roman" w:hAnsi="Times New Roman"/>
          <w:sz w:val="24"/>
          <w:szCs w:val="24"/>
        </w:rPr>
        <w:t xml:space="preserve">) create audit action sheets for the order to cash audit at P&amp;G to evaluate and pilot key steps in the audit automation effort. </w:t>
      </w:r>
      <w:r w:rsidR="007D73C9">
        <w:rPr>
          <w:rFonts w:ascii="Times New Roman" w:hAnsi="Times New Roman"/>
          <w:sz w:val="24"/>
          <w:szCs w:val="24"/>
        </w:rPr>
        <w:t xml:space="preserve">These efforts provide an insight into formal processes of audit automation. </w:t>
      </w:r>
      <w:r w:rsidR="007832AA">
        <w:rPr>
          <w:rFonts w:ascii="Times New Roman" w:hAnsi="Times New Roman"/>
          <w:sz w:val="24"/>
          <w:szCs w:val="24"/>
        </w:rPr>
        <w:t xml:space="preserve">The route to automation </w:t>
      </w:r>
      <w:r w:rsidR="00F21EAB">
        <w:rPr>
          <w:rFonts w:ascii="Times New Roman" w:hAnsi="Times New Roman"/>
          <w:sz w:val="24"/>
          <w:szCs w:val="24"/>
        </w:rPr>
        <w:t>can be broken down in the step</w:t>
      </w:r>
      <w:r w:rsidR="007832AA">
        <w:rPr>
          <w:rFonts w:ascii="Times New Roman" w:hAnsi="Times New Roman"/>
          <w:sz w:val="24"/>
          <w:szCs w:val="24"/>
        </w:rPr>
        <w:t xml:space="preserve">s </w:t>
      </w:r>
      <w:r w:rsidR="000A4165">
        <w:rPr>
          <w:rFonts w:ascii="Times New Roman" w:hAnsi="Times New Roman"/>
          <w:sz w:val="24"/>
          <w:szCs w:val="24"/>
        </w:rPr>
        <w:t xml:space="preserve">in </w:t>
      </w:r>
      <w:r w:rsidR="000A4165">
        <w:rPr>
          <w:rFonts w:ascii="Times New Roman" w:hAnsi="Times New Roman"/>
          <w:sz w:val="24"/>
          <w:szCs w:val="24"/>
        </w:rPr>
        <w:fldChar w:fldCharType="begin"/>
      </w:r>
      <w:r w:rsidR="000A4165">
        <w:rPr>
          <w:rFonts w:ascii="Times New Roman" w:hAnsi="Times New Roman"/>
          <w:sz w:val="24"/>
          <w:szCs w:val="24"/>
        </w:rPr>
        <w:instrText xml:space="preserve"> REF _Ref352422560 \h </w:instrText>
      </w:r>
      <w:r w:rsidR="001D6084">
        <w:rPr>
          <w:rFonts w:ascii="Times New Roman" w:hAnsi="Times New Roman"/>
          <w:sz w:val="24"/>
          <w:szCs w:val="24"/>
        </w:rPr>
        <w:instrText xml:space="preserve"> \* MERGEFORMAT </w:instrText>
      </w:r>
      <w:r w:rsidR="000A4165">
        <w:rPr>
          <w:rFonts w:ascii="Times New Roman" w:hAnsi="Times New Roman"/>
          <w:sz w:val="24"/>
          <w:szCs w:val="24"/>
        </w:rPr>
      </w:r>
      <w:r w:rsidR="000A4165">
        <w:rPr>
          <w:rFonts w:ascii="Times New Roman" w:hAnsi="Times New Roman"/>
          <w:sz w:val="24"/>
          <w:szCs w:val="24"/>
        </w:rPr>
        <w:fldChar w:fldCharType="separate"/>
      </w:r>
      <w:r w:rsidR="00C92099">
        <w:t xml:space="preserve">Figure </w:t>
      </w:r>
      <w:r w:rsidR="00C92099">
        <w:rPr>
          <w:noProof/>
        </w:rPr>
        <w:t>2</w:t>
      </w:r>
      <w:r w:rsidR="000A4165">
        <w:rPr>
          <w:rFonts w:ascii="Times New Roman" w:hAnsi="Times New Roman"/>
          <w:sz w:val="24"/>
          <w:szCs w:val="24"/>
        </w:rPr>
        <w:fldChar w:fldCharType="end"/>
      </w:r>
      <w:r w:rsidR="000A4165">
        <w:rPr>
          <w:rFonts w:ascii="Times New Roman" w:hAnsi="Times New Roman"/>
          <w:sz w:val="24"/>
          <w:szCs w:val="24"/>
        </w:rPr>
        <w:t xml:space="preserve"> </w:t>
      </w:r>
      <w:r w:rsidR="007832AA">
        <w:rPr>
          <w:rFonts w:ascii="Times New Roman" w:hAnsi="Times New Roman"/>
          <w:sz w:val="24"/>
          <w:szCs w:val="24"/>
        </w:rPr>
        <w:t xml:space="preserve">that are </w:t>
      </w:r>
      <w:r w:rsidR="000A4165">
        <w:rPr>
          <w:rFonts w:ascii="Times New Roman" w:hAnsi="Times New Roman"/>
          <w:sz w:val="24"/>
          <w:szCs w:val="24"/>
        </w:rPr>
        <w:t>discussed</w:t>
      </w:r>
      <w:r w:rsidR="007832AA">
        <w:rPr>
          <w:rFonts w:ascii="Times New Roman" w:hAnsi="Times New Roman"/>
          <w:sz w:val="24"/>
          <w:szCs w:val="24"/>
        </w:rPr>
        <w:t xml:space="preserve"> next:</w:t>
      </w:r>
    </w:p>
    <w:p w:rsidR="007832AA" w:rsidRDefault="007832AA" w:rsidP="001D6084">
      <w:pPr>
        <w:pStyle w:val="Heading4"/>
        <w:spacing w:line="360" w:lineRule="auto"/>
        <w:jc w:val="both"/>
      </w:pPr>
      <w:r>
        <w:t>Automation of labor intensive tasks (intra-process latency reduction)</w:t>
      </w:r>
    </w:p>
    <w:p w:rsidR="000A4165" w:rsidRDefault="000A4165" w:rsidP="001D608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Analogous to the traditional implementation of computers in business processes, labor intensive processes </w:t>
      </w:r>
      <w:r w:rsidR="00570081">
        <w:rPr>
          <w:rFonts w:ascii="Times New Roman" w:hAnsi="Times New Roman"/>
          <w:sz w:val="24"/>
          <w:szCs w:val="24"/>
        </w:rPr>
        <w:t>e.g.</w:t>
      </w:r>
      <w:r>
        <w:rPr>
          <w:rFonts w:ascii="Times New Roman" w:hAnsi="Times New Roman"/>
          <w:sz w:val="24"/>
          <w:szCs w:val="24"/>
        </w:rPr>
        <w:t xml:space="preserve"> manual billing</w:t>
      </w:r>
      <w:r w:rsidR="00A75653">
        <w:rPr>
          <w:rFonts w:ascii="Times New Roman" w:hAnsi="Times New Roman"/>
          <w:sz w:val="24"/>
          <w:szCs w:val="24"/>
        </w:rPr>
        <w:t xml:space="preserve"> </w:t>
      </w:r>
      <w:r w:rsidR="00570081">
        <w:rPr>
          <w:rFonts w:ascii="Times New Roman" w:hAnsi="Times New Roman"/>
          <w:sz w:val="24"/>
          <w:szCs w:val="24"/>
        </w:rPr>
        <w:t xml:space="preserve">of </w:t>
      </w:r>
      <w:r w:rsidR="00A75653">
        <w:rPr>
          <w:rFonts w:ascii="Times New Roman" w:hAnsi="Times New Roman"/>
          <w:sz w:val="24"/>
          <w:szCs w:val="24"/>
        </w:rPr>
        <w:t>utilities</w:t>
      </w:r>
      <w:r>
        <w:rPr>
          <w:rFonts w:ascii="Times New Roman" w:hAnsi="Times New Roman"/>
          <w:sz w:val="24"/>
          <w:szCs w:val="24"/>
        </w:rPr>
        <w:t>)</w:t>
      </w:r>
      <w:r w:rsidR="00786C87">
        <w:rPr>
          <w:rFonts w:ascii="Times New Roman" w:hAnsi="Times New Roman"/>
          <w:sz w:val="24"/>
          <w:szCs w:val="24"/>
        </w:rPr>
        <w:t xml:space="preserve"> were the first targets of automation. Laptops and spreadsheets have already performed some of these steps</w:t>
      </w:r>
      <w:r w:rsidR="00570081">
        <w:rPr>
          <w:rFonts w:ascii="Times New Roman" w:hAnsi="Times New Roman"/>
          <w:sz w:val="24"/>
          <w:szCs w:val="24"/>
        </w:rPr>
        <w:t>,</w:t>
      </w:r>
      <w:r w:rsidR="00786C87">
        <w:rPr>
          <w:rFonts w:ascii="Times New Roman" w:hAnsi="Times New Roman"/>
          <w:sz w:val="24"/>
          <w:szCs w:val="24"/>
        </w:rPr>
        <w:t xml:space="preserve"> although the transfer o</w:t>
      </w:r>
      <w:r w:rsidR="00112575">
        <w:rPr>
          <w:rFonts w:ascii="Times New Roman" w:hAnsi="Times New Roman"/>
          <w:sz w:val="24"/>
          <w:szCs w:val="24"/>
        </w:rPr>
        <w:t>f data into and out of these dev</w:t>
      </w:r>
      <w:r w:rsidR="00786C87">
        <w:rPr>
          <w:rFonts w:ascii="Times New Roman" w:hAnsi="Times New Roman"/>
          <w:sz w:val="24"/>
          <w:szCs w:val="24"/>
        </w:rPr>
        <w:t>ices is often very cumbersome and time consuming.</w:t>
      </w:r>
      <w:r w:rsidR="00F337AB">
        <w:rPr>
          <w:rFonts w:ascii="Times New Roman" w:hAnsi="Times New Roman"/>
          <w:sz w:val="24"/>
          <w:szCs w:val="24"/>
        </w:rPr>
        <w:t xml:space="preserve"> Furthermore, there is substantial lack of consistency in their usage</w:t>
      </w:r>
      <w:r w:rsidR="004D7621">
        <w:rPr>
          <w:rFonts w:ascii="Times New Roman" w:hAnsi="Times New Roman"/>
          <w:sz w:val="24"/>
          <w:szCs w:val="24"/>
        </w:rPr>
        <w:t>,</w:t>
      </w:r>
      <w:r w:rsidR="00F337AB">
        <w:rPr>
          <w:rFonts w:ascii="Times New Roman" w:hAnsi="Times New Roman"/>
          <w:sz w:val="24"/>
          <w:szCs w:val="24"/>
        </w:rPr>
        <w:t xml:space="preserve"> and</w:t>
      </w:r>
      <w:r w:rsidR="004D7621">
        <w:rPr>
          <w:rFonts w:ascii="Times New Roman" w:hAnsi="Times New Roman"/>
          <w:sz w:val="24"/>
          <w:szCs w:val="24"/>
        </w:rPr>
        <w:t>,</w:t>
      </w:r>
      <w:r w:rsidR="00F337AB">
        <w:rPr>
          <w:rFonts w:ascii="Times New Roman" w:hAnsi="Times New Roman"/>
          <w:sz w:val="24"/>
          <w:szCs w:val="24"/>
        </w:rPr>
        <w:t xml:space="preserve"> </w:t>
      </w:r>
      <w:r w:rsidR="003F1C55">
        <w:rPr>
          <w:rFonts w:ascii="Times New Roman" w:hAnsi="Times New Roman"/>
          <w:sz w:val="24"/>
          <w:szCs w:val="24"/>
        </w:rPr>
        <w:t xml:space="preserve">as </w:t>
      </w:r>
      <w:r w:rsidR="004D7621">
        <w:rPr>
          <w:rFonts w:ascii="Times New Roman" w:hAnsi="Times New Roman"/>
          <w:sz w:val="24"/>
          <w:szCs w:val="24"/>
        </w:rPr>
        <w:t xml:space="preserve">such, </w:t>
      </w:r>
      <w:r w:rsidR="003F1C55">
        <w:rPr>
          <w:rFonts w:ascii="Times New Roman" w:hAnsi="Times New Roman"/>
          <w:sz w:val="24"/>
          <w:szCs w:val="24"/>
        </w:rPr>
        <w:t xml:space="preserve">many of the CPA firms and software </w:t>
      </w:r>
      <w:bookmarkStart w:id="4" w:name="_GoBack"/>
      <w:bookmarkEnd w:id="4"/>
      <w:r w:rsidR="003F1C55">
        <w:rPr>
          <w:rFonts w:ascii="Times New Roman" w:hAnsi="Times New Roman"/>
          <w:sz w:val="24"/>
          <w:szCs w:val="24"/>
        </w:rPr>
        <w:t>vendors created a wide range of audit templates or supporting software.</w:t>
      </w:r>
    </w:p>
    <w:p w:rsidR="00A75653" w:rsidRDefault="00A75653" w:rsidP="007D73C9">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Systems engineering research</w:t>
      </w:r>
      <w:r w:rsidR="00F337AB">
        <w:rPr>
          <w:rFonts w:ascii="Times New Roman" w:hAnsi="Times New Roman"/>
          <w:sz w:val="24"/>
          <w:szCs w:val="24"/>
        </w:rPr>
        <w:t>,</w:t>
      </w:r>
      <w:r w:rsidR="003F1C55">
        <w:rPr>
          <w:rFonts w:ascii="Times New Roman" w:hAnsi="Times New Roman"/>
          <w:sz w:val="24"/>
          <w:szCs w:val="24"/>
        </w:rPr>
        <w:t xml:space="preserve"> </w:t>
      </w:r>
      <w:r w:rsidR="00F337AB">
        <w:rPr>
          <w:rFonts w:ascii="Times New Roman" w:hAnsi="Times New Roman"/>
          <w:sz w:val="24"/>
          <w:szCs w:val="24"/>
        </w:rPr>
        <w:t>as well as studies of</w:t>
      </w:r>
      <w:r w:rsidR="003F1C55">
        <w:rPr>
          <w:rFonts w:ascii="Times New Roman" w:hAnsi="Times New Roman"/>
          <w:sz w:val="24"/>
          <w:szCs w:val="24"/>
        </w:rPr>
        <w:t xml:space="preserve"> time and motion (Taylor,1911</w:t>
      </w:r>
      <w:r w:rsidR="00F337AB">
        <w:rPr>
          <w:rFonts w:ascii="Times New Roman" w:hAnsi="Times New Roman"/>
          <w:sz w:val="24"/>
          <w:szCs w:val="24"/>
        </w:rPr>
        <w:t>)</w:t>
      </w:r>
      <w:r w:rsidR="004D7621">
        <w:rPr>
          <w:rFonts w:ascii="Times New Roman" w:hAnsi="Times New Roman"/>
          <w:sz w:val="24"/>
          <w:szCs w:val="24"/>
        </w:rPr>
        <w:t>, has sought</w:t>
      </w:r>
      <w:r>
        <w:rPr>
          <w:rFonts w:ascii="Times New Roman" w:hAnsi="Times New Roman"/>
          <w:sz w:val="24"/>
          <w:szCs w:val="24"/>
        </w:rPr>
        <w:t xml:space="preserve"> to identify steps that auditors perform repetitively in the performance of their functions </w:t>
      </w:r>
      <w:r w:rsidR="004D7621">
        <w:rPr>
          <w:rFonts w:ascii="Times New Roman" w:hAnsi="Times New Roman"/>
          <w:sz w:val="24"/>
          <w:szCs w:val="24"/>
        </w:rPr>
        <w:t>in an effort to</w:t>
      </w:r>
      <w:r>
        <w:rPr>
          <w:rFonts w:ascii="Times New Roman" w:hAnsi="Times New Roman"/>
          <w:sz w:val="24"/>
          <w:szCs w:val="24"/>
        </w:rPr>
        <w:t xml:space="preserve"> reveal potential areas of systematization</w:t>
      </w:r>
      <w:r w:rsidR="00AD6789">
        <w:rPr>
          <w:rFonts w:ascii="Times New Roman" w:hAnsi="Times New Roman"/>
          <w:sz w:val="24"/>
          <w:szCs w:val="24"/>
        </w:rPr>
        <w:t>. On the other hand</w:t>
      </w:r>
      <w:r w:rsidR="004D7621">
        <w:rPr>
          <w:rFonts w:ascii="Times New Roman" w:hAnsi="Times New Roman"/>
          <w:sz w:val="24"/>
          <w:szCs w:val="24"/>
        </w:rPr>
        <w:t>,</w:t>
      </w:r>
      <w:r w:rsidR="00AD6789">
        <w:rPr>
          <w:rFonts w:ascii="Times New Roman" w:hAnsi="Times New Roman"/>
          <w:sz w:val="24"/>
          <w:szCs w:val="24"/>
        </w:rPr>
        <w:t xml:space="preserve"> the</w:t>
      </w:r>
      <w:r>
        <w:rPr>
          <w:rFonts w:ascii="Times New Roman" w:hAnsi="Times New Roman"/>
          <w:sz w:val="24"/>
          <w:szCs w:val="24"/>
        </w:rPr>
        <w:t xml:space="preserve"> wide variety of </w:t>
      </w:r>
      <w:r w:rsidR="00AD6789">
        <w:rPr>
          <w:rFonts w:ascii="Times New Roman" w:hAnsi="Times New Roman"/>
          <w:sz w:val="24"/>
          <w:szCs w:val="24"/>
        </w:rPr>
        <w:t>types of businesses, industries, supporting IT systems, and audit objectives as well as the nature of liberal professions limits this systematization.</w:t>
      </w:r>
      <w:r w:rsidR="00067629">
        <w:rPr>
          <w:rFonts w:ascii="Times New Roman" w:hAnsi="Times New Roman"/>
          <w:sz w:val="24"/>
          <w:szCs w:val="24"/>
        </w:rPr>
        <w:t xml:space="preserve"> </w:t>
      </w:r>
    </w:p>
    <w:p w:rsidR="00AD6789" w:rsidRDefault="00AD6789" w:rsidP="001D6084">
      <w:pPr>
        <w:autoSpaceDE w:val="0"/>
        <w:autoSpaceDN w:val="0"/>
        <w:adjustRightInd w:val="0"/>
        <w:spacing w:after="0" w:line="360" w:lineRule="auto"/>
        <w:jc w:val="both"/>
        <w:rPr>
          <w:rFonts w:ascii="Times New Roman" w:hAnsi="Times New Roman"/>
          <w:sz w:val="24"/>
          <w:szCs w:val="24"/>
        </w:rPr>
      </w:pPr>
    </w:p>
    <w:p w:rsidR="007832AA" w:rsidRDefault="007832AA" w:rsidP="001D6084">
      <w:pPr>
        <w:autoSpaceDE w:val="0"/>
        <w:autoSpaceDN w:val="0"/>
        <w:adjustRightInd w:val="0"/>
        <w:spacing w:after="0" w:line="360" w:lineRule="auto"/>
        <w:jc w:val="both"/>
        <w:rPr>
          <w:rFonts w:ascii="Times New Roman" w:hAnsi="Times New Roman"/>
          <w:sz w:val="24"/>
          <w:szCs w:val="24"/>
        </w:rPr>
      </w:pPr>
      <w:r w:rsidRPr="00112575">
        <w:rPr>
          <w:rStyle w:val="Heading4Char"/>
        </w:rPr>
        <w:t xml:space="preserve">Automation of </w:t>
      </w:r>
      <w:r w:rsidR="000A4165" w:rsidRPr="00112575">
        <w:rPr>
          <w:rStyle w:val="Heading4Char"/>
        </w:rPr>
        <w:t xml:space="preserve">staged </w:t>
      </w:r>
      <w:r w:rsidRPr="00112575">
        <w:rPr>
          <w:rStyle w:val="Heading4Char"/>
        </w:rPr>
        <w:t>data collection and data delivery (inter-process latency</w:t>
      </w:r>
      <w:r w:rsidR="00112575">
        <w:rPr>
          <w:rStyle w:val="Heading4Char"/>
        </w:rPr>
        <w:t xml:space="preserve"> reductions)</w:t>
      </w:r>
    </w:p>
    <w:p w:rsidR="003F1C55" w:rsidRDefault="003F1C55" w:rsidP="001D6084">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The AICPA, through its Assurance Services Executive Committee</w:t>
      </w:r>
      <w:r w:rsidR="004D7621">
        <w:rPr>
          <w:rFonts w:ascii="Times New Roman" w:hAnsi="Times New Roman"/>
          <w:sz w:val="24"/>
          <w:szCs w:val="24"/>
        </w:rPr>
        <w:t>,</w:t>
      </w:r>
      <w:r>
        <w:rPr>
          <w:rFonts w:ascii="Times New Roman" w:hAnsi="Times New Roman"/>
          <w:sz w:val="24"/>
          <w:szCs w:val="24"/>
        </w:rPr>
        <w:t xml:space="preserve"> is issuing the Audit Data Standard (</w:t>
      </w:r>
      <w:r w:rsidR="00C34630">
        <w:rPr>
          <w:rFonts w:ascii="Times New Roman" w:hAnsi="Times New Roman"/>
          <w:sz w:val="24"/>
          <w:szCs w:val="24"/>
        </w:rPr>
        <w:t>Zhang</w:t>
      </w:r>
      <w:r>
        <w:rPr>
          <w:rFonts w:ascii="Times New Roman" w:hAnsi="Times New Roman"/>
          <w:sz w:val="24"/>
          <w:szCs w:val="24"/>
        </w:rPr>
        <w:t xml:space="preserve"> et al, 2012; AICPA, </w:t>
      </w:r>
      <w:r w:rsidR="00C34630">
        <w:rPr>
          <w:rFonts w:ascii="Times New Roman" w:hAnsi="Times New Roman"/>
          <w:sz w:val="24"/>
          <w:szCs w:val="24"/>
        </w:rPr>
        <w:t>2012</w:t>
      </w:r>
      <w:r>
        <w:rPr>
          <w:rFonts w:ascii="Times New Roman" w:hAnsi="Times New Roman"/>
          <w:sz w:val="24"/>
          <w:szCs w:val="24"/>
        </w:rPr>
        <w:t>) with specific guidelines on the data to be provided to external and internal auditors</w:t>
      </w:r>
      <w:r w:rsidR="009F09D6">
        <w:rPr>
          <w:rFonts w:ascii="Times New Roman" w:hAnsi="Times New Roman"/>
          <w:sz w:val="24"/>
          <w:szCs w:val="24"/>
        </w:rPr>
        <w:t xml:space="preserve">. This standardization can facilitate the automatic transmission of data between corporate and audit systems. Furthermore, the standard is </w:t>
      </w:r>
      <w:r w:rsidR="009F09D6">
        <w:rPr>
          <w:rFonts w:ascii="Times New Roman" w:hAnsi="Times New Roman"/>
          <w:sz w:val="24"/>
          <w:szCs w:val="24"/>
        </w:rPr>
        <w:lastRenderedPageBreak/>
        <w:t xml:space="preserve">proposing data to be tagged in XBRL/GL (Cohen, </w:t>
      </w:r>
      <w:r w:rsidR="002C1F9E">
        <w:rPr>
          <w:rFonts w:ascii="Times New Roman" w:hAnsi="Times New Roman"/>
          <w:sz w:val="24"/>
          <w:szCs w:val="24"/>
        </w:rPr>
        <w:t>2009</w:t>
      </w:r>
      <w:r w:rsidR="009F09D6">
        <w:rPr>
          <w:rFonts w:ascii="Times New Roman" w:hAnsi="Times New Roman"/>
          <w:sz w:val="24"/>
          <w:szCs w:val="24"/>
        </w:rPr>
        <w:t xml:space="preserve">) further facilitating system interoperability. This standardization could be used </w:t>
      </w:r>
      <w:r w:rsidR="00ED5269">
        <w:rPr>
          <w:rFonts w:ascii="Times New Roman" w:hAnsi="Times New Roman"/>
          <w:sz w:val="24"/>
          <w:szCs w:val="24"/>
        </w:rPr>
        <w:t>for repeated extractions at close time intervals</w:t>
      </w:r>
      <w:r w:rsidR="004D7621">
        <w:rPr>
          <w:rFonts w:ascii="Times New Roman" w:hAnsi="Times New Roman"/>
          <w:sz w:val="24"/>
          <w:szCs w:val="24"/>
        </w:rPr>
        <w:t>,</w:t>
      </w:r>
      <w:r w:rsidR="00ED5269">
        <w:rPr>
          <w:rFonts w:ascii="Times New Roman" w:hAnsi="Times New Roman"/>
          <w:sz w:val="24"/>
          <w:szCs w:val="24"/>
        </w:rPr>
        <w:t xml:space="preserve"> creating the possibility of a close to real time audit and</w:t>
      </w:r>
      <w:r w:rsidR="004D7621">
        <w:rPr>
          <w:rFonts w:ascii="Times New Roman" w:hAnsi="Times New Roman"/>
          <w:sz w:val="24"/>
          <w:szCs w:val="24"/>
        </w:rPr>
        <w:t>,</w:t>
      </w:r>
      <w:r w:rsidR="00ED5269">
        <w:rPr>
          <w:rFonts w:ascii="Times New Roman" w:hAnsi="Times New Roman"/>
          <w:sz w:val="24"/>
          <w:szCs w:val="24"/>
        </w:rPr>
        <w:t xml:space="preserve"> as by-product</w:t>
      </w:r>
      <w:r w:rsidR="004D7621">
        <w:rPr>
          <w:rFonts w:ascii="Times New Roman" w:hAnsi="Times New Roman"/>
          <w:sz w:val="24"/>
          <w:szCs w:val="24"/>
        </w:rPr>
        <w:t>s,</w:t>
      </w:r>
      <w:r w:rsidR="00ED5269">
        <w:rPr>
          <w:rFonts w:ascii="Times New Roman" w:hAnsi="Times New Roman"/>
          <w:sz w:val="24"/>
          <w:szCs w:val="24"/>
        </w:rPr>
        <w:t xml:space="preserve"> continuous monitoring reports or dashboard</w:t>
      </w:r>
      <w:r w:rsidR="004D7621">
        <w:rPr>
          <w:rFonts w:ascii="Times New Roman" w:hAnsi="Times New Roman"/>
          <w:sz w:val="24"/>
          <w:szCs w:val="24"/>
        </w:rPr>
        <w:t>s</w:t>
      </w:r>
      <w:r w:rsidR="00ED5269">
        <w:rPr>
          <w:rFonts w:ascii="Times New Roman" w:hAnsi="Times New Roman"/>
          <w:sz w:val="24"/>
          <w:szCs w:val="24"/>
        </w:rPr>
        <w:t>.</w:t>
      </w:r>
    </w:p>
    <w:p w:rsidR="000A4165" w:rsidRDefault="00ED5269" w:rsidP="00703749">
      <w:pPr>
        <w:spacing w:line="360" w:lineRule="auto"/>
        <w:ind w:left="720"/>
        <w:jc w:val="both"/>
      </w:pPr>
      <w:r>
        <w:tab/>
        <w:t>There are substantive research needs in the audit data standard which include: composition of the standard, method of deriving the standard, potential assertions supported by the standard, apps to be developed to use the standard, consideration of the granularity necessary for the standard, what industries and cycles need specific standards, how to version and update the standard, how to promote the utilization of the standard, etc…</w:t>
      </w:r>
    </w:p>
    <w:p w:rsidR="000A4165" w:rsidRDefault="000A4165" w:rsidP="001D6084">
      <w:pPr>
        <w:spacing w:line="360" w:lineRule="auto"/>
        <w:jc w:val="both"/>
      </w:pPr>
    </w:p>
    <w:p w:rsidR="007832AA" w:rsidRDefault="007832AA" w:rsidP="001D6084">
      <w:pPr>
        <w:pStyle w:val="Heading4"/>
        <w:spacing w:line="360" w:lineRule="auto"/>
        <w:jc w:val="both"/>
      </w:pPr>
      <w:r>
        <w:t>Automation of Decision making</w:t>
      </w:r>
    </w:p>
    <w:p w:rsidR="001D6084" w:rsidRDefault="004D7621" w:rsidP="008A6759">
      <w:pPr>
        <w:spacing w:line="360" w:lineRule="auto"/>
        <w:ind w:firstLine="720"/>
        <w:jc w:val="both"/>
        <w:rPr>
          <w:rFonts w:cs="Calibri"/>
        </w:rPr>
      </w:pPr>
      <w:r>
        <w:t>E</w:t>
      </w:r>
      <w:r w:rsidR="00700EFB" w:rsidRPr="001D6084">
        <w:t xml:space="preserve">xtensive literature on audit decision making has </w:t>
      </w:r>
      <w:r>
        <w:t>accumulated i</w:t>
      </w:r>
      <w:r w:rsidR="00700EFB" w:rsidRPr="001D6084">
        <w:t>n the last three decades.</w:t>
      </w:r>
      <w:r w:rsidR="00701B87" w:rsidRPr="001D6084">
        <w:t xml:space="preserve"> Auditor decisions in an automated environment may be different from the types of decisions made in a manual one. Firm or statutory guidance may ultimately serve to parameterize audit decisions. The same arguments used by Krahel (2012) and Vasarhelyi et al (2011)</w:t>
      </w:r>
      <w:r>
        <w:t>,</w:t>
      </w:r>
      <w:r w:rsidR="00701B87" w:rsidRPr="001D6084">
        <w:t xml:space="preserve"> that </w:t>
      </w:r>
      <w:r w:rsidR="00241B6B">
        <w:t xml:space="preserve">are based upon an </w:t>
      </w:r>
      <w:r w:rsidR="00C87344">
        <w:t>exami</w:t>
      </w:r>
      <w:r w:rsidR="00241B6B">
        <w:t>nation of</w:t>
      </w:r>
      <w:r w:rsidR="00241B6B" w:rsidRPr="001D6084">
        <w:t xml:space="preserve"> </w:t>
      </w:r>
      <w:r w:rsidR="00701B87" w:rsidRPr="001D6084">
        <w:t xml:space="preserve">accounting standard setting and </w:t>
      </w:r>
      <w:r w:rsidR="00241B6B">
        <w:t xml:space="preserve">maintain </w:t>
      </w:r>
      <w:r w:rsidR="00701B87" w:rsidRPr="001D6084">
        <w:t>that standards are de facto formalized</w:t>
      </w:r>
      <w:r w:rsidR="00241B6B" w:rsidRPr="001D6084">
        <w:t xml:space="preserve"> </w:t>
      </w:r>
      <w:r w:rsidR="00701B87" w:rsidRPr="001D6084">
        <w:t>regardless</w:t>
      </w:r>
      <w:r w:rsidR="00241B6B">
        <w:t xml:space="preserve"> of</w:t>
      </w:r>
      <w:r w:rsidR="00701B87" w:rsidRPr="001D6084">
        <w:t xml:space="preserve"> the extensive literature </w:t>
      </w:r>
      <w:r w:rsidR="00241B6B">
        <w:t>debate of</w:t>
      </w:r>
      <w:r w:rsidR="00701B87" w:rsidRPr="001D6084">
        <w:t xml:space="preserve"> principles versus rules that emerged in the fraudulent reporting crisis of 2002/2003</w:t>
      </w:r>
      <w:r>
        <w:t>,</w:t>
      </w:r>
      <w:r w:rsidR="00701B87" w:rsidRPr="001D6084">
        <w:t xml:space="preserve"> are extensible to auditing standards and their automation. The argument in simple terms states that de facto all major rules that affect volume</w:t>
      </w:r>
      <w:r w:rsidR="001D6084" w:rsidRPr="001D6084">
        <w:t xml:space="preserve">s of information in accounting </w:t>
      </w:r>
      <w:r w:rsidR="00701B87" w:rsidRPr="001D6084">
        <w:t xml:space="preserve">are eventually negotiated with the standard setters and impounded into software allowing for no “principle based disclosure.” If auditing is </w:t>
      </w:r>
      <w:r w:rsidR="001D6084">
        <w:t xml:space="preserve">to be </w:t>
      </w:r>
      <w:r w:rsidR="00701B87" w:rsidRPr="001D6084">
        <w:t>automated to the extent that current accounting systems are</w:t>
      </w:r>
      <w:r w:rsidR="00241B6B">
        <w:t>,</w:t>
      </w:r>
      <w:r w:rsidR="001D6084" w:rsidRPr="001D6084">
        <w:t xml:space="preserve"> </w:t>
      </w:r>
      <w:r w:rsidR="001D6084">
        <w:t>s</w:t>
      </w:r>
      <w:r w:rsidR="001D6084" w:rsidRPr="001D6084">
        <w:rPr>
          <w:rFonts w:cs="Calibri"/>
        </w:rPr>
        <w:t xml:space="preserve">ubstantive formalization is necessary for putting in place automation and the </w:t>
      </w:r>
      <w:r w:rsidR="001D6084">
        <w:rPr>
          <w:rFonts w:cs="Calibri"/>
        </w:rPr>
        <w:t xml:space="preserve">necessary </w:t>
      </w:r>
      <w:r w:rsidR="001D6084" w:rsidRPr="001D6084">
        <w:rPr>
          <w:rFonts w:cs="Calibri"/>
        </w:rPr>
        <w:t>process changes. In addition to data processing mechanics, classification structures like taxonomies and hierarchies must be expanded to harden “soft” knowledge into computable structures (</w:t>
      </w:r>
      <w:r w:rsidR="00D37BCF">
        <w:rPr>
          <w:rFonts w:cs="Calibri"/>
        </w:rPr>
        <w:t xml:space="preserve">Vasarhelyi &amp; </w:t>
      </w:r>
      <w:r w:rsidR="001D6084" w:rsidRPr="001D6084">
        <w:rPr>
          <w:rFonts w:cs="Calibri"/>
        </w:rPr>
        <w:t>Krahel, 2011) (Geerts &amp; MCCarthy, 2002).</w:t>
      </w:r>
      <w:r w:rsidR="009B05F2">
        <w:rPr>
          <w:rFonts w:cs="Calibri"/>
        </w:rPr>
        <w:t xml:space="preserve"> </w:t>
      </w:r>
    </w:p>
    <w:p w:rsidR="009B05F2" w:rsidRDefault="009B05F2" w:rsidP="00703749">
      <w:pPr>
        <w:spacing w:line="360" w:lineRule="auto"/>
        <w:ind w:left="720" w:firstLine="720"/>
        <w:jc w:val="both"/>
        <w:rPr>
          <w:rFonts w:cs="Calibri"/>
        </w:rPr>
      </w:pPr>
      <w:r>
        <w:rPr>
          <w:rFonts w:cs="Calibri"/>
        </w:rPr>
        <w:t xml:space="preserve">The research </w:t>
      </w:r>
      <w:r w:rsidR="00241B6B">
        <w:rPr>
          <w:rFonts w:cs="Calibri"/>
        </w:rPr>
        <w:t xml:space="preserve">into </w:t>
      </w:r>
      <w:r>
        <w:rPr>
          <w:rFonts w:cs="Calibri"/>
        </w:rPr>
        <w:t>the current manual processes of auditing</w:t>
      </w:r>
      <w:r w:rsidR="00241B6B">
        <w:rPr>
          <w:rFonts w:cs="Calibri"/>
        </w:rPr>
        <w:t>,</w:t>
      </w:r>
      <w:r>
        <w:rPr>
          <w:rFonts w:cs="Calibri"/>
        </w:rPr>
        <w:t xml:space="preserve"> and the documentation of discrete steps of its performance can help to identify basic automatable decisions and meta-decisions that utilize results from different steps of audit that may require informal evaluation and intuition. Analogous to other areas of automation, progressively more and more complex decisions will be formalized and automated.</w:t>
      </w:r>
    </w:p>
    <w:p w:rsidR="008A6759" w:rsidRPr="001D6084" w:rsidRDefault="008A6759" w:rsidP="00703749">
      <w:pPr>
        <w:spacing w:line="360" w:lineRule="auto"/>
        <w:ind w:left="720" w:firstLine="720"/>
        <w:jc w:val="both"/>
        <w:rPr>
          <w:rFonts w:cs="Calibri"/>
        </w:rPr>
      </w:pPr>
      <w:r>
        <w:rPr>
          <w:rFonts w:cs="Calibri"/>
        </w:rPr>
        <w:lastRenderedPageBreak/>
        <w:t>Most of the behavioral research in auditing has focused on examining auditors in different stages of the audit process</w:t>
      </w:r>
      <w:r w:rsidR="00241B6B">
        <w:rPr>
          <w:rFonts w:cs="Calibri"/>
        </w:rPr>
        <w:t>,</w:t>
      </w:r>
      <w:r>
        <w:rPr>
          <w:rFonts w:cs="Calibri"/>
        </w:rPr>
        <w:t xml:space="preserve"> but not </w:t>
      </w:r>
      <w:r w:rsidR="00241B6B">
        <w:rPr>
          <w:rFonts w:cs="Calibri"/>
        </w:rPr>
        <w:t xml:space="preserve">on </w:t>
      </w:r>
      <w:r>
        <w:rPr>
          <w:rFonts w:cs="Calibri"/>
        </w:rPr>
        <w:t>breaking down decisions as automatable or not, nor providing guidance for this automation. These two areas of research</w:t>
      </w:r>
      <w:r w:rsidR="004814EC">
        <w:rPr>
          <w:rFonts w:cs="Calibri"/>
        </w:rPr>
        <w:t xml:space="preserve"> could provide valuable guidance to the evolving area of audit automation.</w:t>
      </w:r>
    </w:p>
    <w:p w:rsidR="007832AA" w:rsidRDefault="007832AA" w:rsidP="001D6084">
      <w:pPr>
        <w:pStyle w:val="Heading4"/>
        <w:spacing w:line="360" w:lineRule="auto"/>
        <w:jc w:val="both"/>
      </w:pPr>
      <w:r>
        <w:t>Automation of Decision Implementation</w:t>
      </w:r>
    </w:p>
    <w:p w:rsidR="00112575" w:rsidRDefault="009B05F2" w:rsidP="001D6084">
      <w:pPr>
        <w:spacing w:line="360" w:lineRule="auto"/>
        <w:jc w:val="both"/>
      </w:pPr>
      <w:r>
        <w:tab/>
        <w:t>Several audit decisions imply follow up action in the audit program. These potentially could be automated</w:t>
      </w:r>
      <w:r w:rsidR="002B2ED2">
        <w:t xml:space="preserve">, or at least </w:t>
      </w:r>
      <w:r w:rsidR="00241B6B">
        <w:t xml:space="preserve">enhanced </w:t>
      </w:r>
      <w:r w:rsidR="002B2ED2">
        <w:t>by progressive automation. For example, in the evaluation of confirmations</w:t>
      </w:r>
      <w:r w:rsidR="00241B6B">
        <w:t>,</w:t>
      </w:r>
      <w:r w:rsidR="002B2ED2">
        <w:t xml:space="preserve"> an auditor may decide to increase the sample or focus on a certain type of transactions. These follow up actions can be automated obeying general audit firm guidelines or the generic parameters of the auditee. Audit actions can be intermingled with administrative </w:t>
      </w:r>
      <w:r w:rsidR="002C1F9E">
        <w:t xml:space="preserve">supportive processes. </w:t>
      </w:r>
    </w:p>
    <w:p w:rsidR="002C1F9E" w:rsidRPr="00112575" w:rsidRDefault="002C1F9E" w:rsidP="00703749">
      <w:pPr>
        <w:spacing w:line="360" w:lineRule="auto"/>
        <w:ind w:left="720"/>
        <w:jc w:val="both"/>
      </w:pPr>
      <w:r>
        <w:tab/>
        <w:t xml:space="preserve">The mapping of audit processes, the study of their sequences and contingencies, the </w:t>
      </w:r>
      <w:r w:rsidR="00FC2A1B">
        <w:t>study of formalization of decision implementation,</w:t>
      </w:r>
      <w:r w:rsidR="00241B6B">
        <w:t xml:space="preserve"> and</w:t>
      </w:r>
      <w:r w:rsidR="00FC2A1B">
        <w:t xml:space="preserve"> the examination of interactions of audit and administrative processes (e.g. auditor deployment and billing) are all interesting research topics </w:t>
      </w:r>
      <w:r>
        <w:t xml:space="preserve"> </w:t>
      </w:r>
    </w:p>
    <w:p w:rsidR="00FC2A1B" w:rsidRDefault="00FC2A1B" w:rsidP="00FC2A1B">
      <w:pPr>
        <w:pStyle w:val="Heading2"/>
        <w:spacing w:line="360" w:lineRule="auto"/>
        <w:jc w:val="both"/>
      </w:pPr>
      <w:r>
        <w:t>Conclusions</w:t>
      </w:r>
    </w:p>
    <w:p w:rsidR="00025230" w:rsidRPr="00FC2A1B" w:rsidRDefault="00025230" w:rsidP="00703749">
      <w:pPr>
        <w:spacing w:line="360" w:lineRule="auto"/>
        <w:ind w:firstLine="360"/>
        <w:jc w:val="both"/>
        <w:rPr>
          <w:rFonts w:cs="Calibri"/>
        </w:rPr>
      </w:pPr>
      <w:r w:rsidRPr="00FC2A1B">
        <w:rPr>
          <w:rFonts w:cs="Calibri"/>
        </w:rPr>
        <w:t>The age of big data (</w:t>
      </w:r>
      <w:r w:rsidR="00FC2A1B" w:rsidRPr="00FC2A1B">
        <w:rPr>
          <w:rFonts w:cs="Calibri"/>
        </w:rPr>
        <w:t>Davenport &amp; Harris, 2007</w:t>
      </w:r>
      <w:r w:rsidRPr="00FC2A1B">
        <w:rPr>
          <w:rFonts w:cs="Calibri"/>
        </w:rPr>
        <w:t>) has arrived</w:t>
      </w:r>
      <w:r w:rsidR="00241B6B">
        <w:rPr>
          <w:rFonts w:cs="Calibri"/>
        </w:rPr>
        <w:t>,</w:t>
      </w:r>
      <w:r w:rsidRPr="00FC2A1B">
        <w:rPr>
          <w:rFonts w:cs="Calibri"/>
        </w:rPr>
        <w:t xml:space="preserve"> and with it both the need for understanding these stores</w:t>
      </w:r>
      <w:r w:rsidR="00241B6B">
        <w:rPr>
          <w:rFonts w:cs="Calibri"/>
        </w:rPr>
        <w:t xml:space="preserve"> </w:t>
      </w:r>
      <w:r w:rsidR="007F6D7C">
        <w:rPr>
          <w:rFonts w:cs="Calibri"/>
        </w:rPr>
        <w:t>and automating many of its functions. Although many accounting processes are substantively automated</w:t>
      </w:r>
      <w:r w:rsidR="00241B6B">
        <w:rPr>
          <w:rFonts w:cs="Calibri"/>
        </w:rPr>
        <w:t>,</w:t>
      </w:r>
      <w:r w:rsidR="007F6D7C">
        <w:rPr>
          <w:rFonts w:cs="Calibri"/>
        </w:rPr>
        <w:t xml:space="preserve"> auditing is basically performed in an ad hoc manner </w:t>
      </w:r>
      <w:r w:rsidR="00C44425">
        <w:rPr>
          <w:rFonts w:cs="Calibri"/>
        </w:rPr>
        <w:t>within</w:t>
      </w:r>
      <w:r w:rsidR="007F6D7C">
        <w:rPr>
          <w:rFonts w:cs="Calibri"/>
        </w:rPr>
        <w:t xml:space="preserve"> some </w:t>
      </w:r>
      <w:r w:rsidR="00C44425">
        <w:rPr>
          <w:rFonts w:cs="Calibri"/>
        </w:rPr>
        <w:t xml:space="preserve">generic </w:t>
      </w:r>
      <w:r w:rsidR="00241B6B">
        <w:rPr>
          <w:rFonts w:cs="Calibri"/>
        </w:rPr>
        <w:t xml:space="preserve">framework constructed </w:t>
      </w:r>
      <w:r w:rsidR="00C44425">
        <w:rPr>
          <w:rFonts w:cs="Calibri"/>
        </w:rPr>
        <w:t>by laws, standards, and organization guidelines.</w:t>
      </w:r>
    </w:p>
    <w:p w:rsidR="00A5201E" w:rsidRDefault="00A5201E" w:rsidP="00D37BCF">
      <w:pPr>
        <w:spacing w:line="360" w:lineRule="auto"/>
        <w:ind w:firstLine="360"/>
        <w:jc w:val="both"/>
      </w:pPr>
      <w:r>
        <w:t>Many conditioning factors and objective functions created a situation where the benefits of formalized automation have not been realized in auditing. Economic factors, and the change in the technology of the auditees creates what is called here traditional method un-auditability (TMU)</w:t>
      </w:r>
      <w:r w:rsidR="00241B6B">
        <w:t>,</w:t>
      </w:r>
      <w:r>
        <w:t xml:space="preserve"> which will force the adoption of intelligent automation (a la robotics in production) in the assurance process. This adoption is now hampered by anachronistic rules, a conservative audit profession, and strong resistance to transparency </w:t>
      </w:r>
      <w:r w:rsidR="00F00508">
        <w:t xml:space="preserve">by </w:t>
      </w:r>
      <w:r>
        <w:t>business entities.</w:t>
      </w:r>
    </w:p>
    <w:p w:rsidR="00025230" w:rsidRDefault="00A5201E" w:rsidP="00D37BCF">
      <w:pPr>
        <w:spacing w:line="360" w:lineRule="auto"/>
        <w:ind w:firstLine="360"/>
        <w:jc w:val="both"/>
        <w:rPr>
          <w:rFonts w:cs="Calibri"/>
        </w:rPr>
      </w:pPr>
      <w:r>
        <w:t xml:space="preserve">The hand-crafting of audit solutions, even using computer tools, is expensive and not effective. </w:t>
      </w:r>
      <w:r w:rsidR="00F00508">
        <w:t xml:space="preserve">This has to be replaced by formalized data structures, taxonomies of artifacts such as errors, controls, accounts etc., and a large number of software agents acting on behalf of the audit process in a large sea of data. Auditing is, in addition to labor intensive, a judgment rich environment. A natural path of </w:t>
      </w:r>
      <w:r w:rsidR="00F00508">
        <w:lastRenderedPageBreak/>
        <w:t xml:space="preserve">automation is started by 1) computerization of frequently repetitive tasks and tasks that must </w:t>
      </w:r>
      <w:r w:rsidR="00C8667D">
        <w:t>be performed autonomously in lar</w:t>
      </w:r>
      <w:r w:rsidR="00F00508">
        <w:t>ge data receptacles, then 2) deterministic / or simple decision</w:t>
      </w:r>
      <w:r w:rsidR="00D37BCF">
        <w:t xml:space="preserve"> </w:t>
      </w:r>
      <w:r w:rsidR="00D539ED">
        <w:t xml:space="preserve">automation </w:t>
      </w:r>
      <w:r w:rsidR="00F00508">
        <w:t xml:space="preserve">where the potential outcomes are clear, then 3) </w:t>
      </w:r>
      <w:r w:rsidR="00D539ED">
        <w:t xml:space="preserve">observation of </w:t>
      </w:r>
      <w:r w:rsidR="00F00508">
        <w:t xml:space="preserve">human intervention to resolve </w:t>
      </w:r>
      <w:r w:rsidR="00C8667D">
        <w:t>higher-level ambiguities</w:t>
      </w:r>
      <w:r w:rsidR="00D539ED">
        <w:t>, thus</w:t>
      </w:r>
      <w:r w:rsidR="00F00508">
        <w:t xml:space="preserve"> </w:t>
      </w:r>
      <w:r w:rsidR="00D539ED">
        <w:t xml:space="preserve">allowing </w:t>
      </w:r>
      <w:r w:rsidR="00F00508">
        <w:t xml:space="preserve">for the automation of progressively more and more </w:t>
      </w:r>
      <w:r w:rsidR="00C8667D">
        <w:t>complex decisions.</w:t>
      </w:r>
      <w:r>
        <w:t xml:space="preserve"> </w:t>
      </w:r>
    </w:p>
    <w:p w:rsidR="00025230" w:rsidRDefault="00025230" w:rsidP="001D6084">
      <w:pPr>
        <w:pStyle w:val="Heading2"/>
        <w:spacing w:line="360" w:lineRule="auto"/>
        <w:jc w:val="both"/>
      </w:pPr>
      <w:r>
        <w:t>References</w:t>
      </w:r>
    </w:p>
    <w:p w:rsidR="00F252E5" w:rsidRPr="00D37BCF" w:rsidRDefault="00F252E5" w:rsidP="00D37BCF">
      <w:pPr>
        <w:widowControl w:val="0"/>
        <w:shd w:val="solid" w:color="FFFFFF" w:fill="FFFFFF"/>
        <w:overflowPunct w:val="0"/>
        <w:adjustRightInd w:val="0"/>
        <w:spacing w:after="120" w:line="240" w:lineRule="auto"/>
        <w:ind w:left="720" w:hanging="720"/>
        <w:jc w:val="both"/>
        <w:rPr>
          <w:rFonts w:asciiTheme="minorHAnsi" w:hAnsiTheme="minorHAnsi" w:cstheme="minorHAnsi"/>
        </w:rPr>
      </w:pPr>
      <w:r w:rsidRPr="00D37BCF">
        <w:rPr>
          <w:rFonts w:asciiTheme="minorHAnsi" w:hAnsiTheme="minorHAnsi" w:cstheme="minorHAnsi"/>
        </w:rPr>
        <w:t>AICPA, Assurance Service executive Committee. The Audit Data Standard. Exposure draft, 2012.</w:t>
      </w:r>
    </w:p>
    <w:p w:rsidR="00A45CF1" w:rsidRPr="00D37BCF" w:rsidRDefault="00A45CF1" w:rsidP="00D37BCF">
      <w:pPr>
        <w:spacing w:line="240" w:lineRule="auto"/>
        <w:ind w:left="720" w:hanging="720"/>
        <w:jc w:val="both"/>
        <w:rPr>
          <w:rFonts w:asciiTheme="minorHAnsi" w:hAnsiTheme="minorHAnsi" w:cstheme="minorHAnsi"/>
        </w:rPr>
      </w:pPr>
      <w:r w:rsidRPr="00D37BCF">
        <w:rPr>
          <w:rFonts w:asciiTheme="minorHAnsi" w:hAnsiTheme="minorHAnsi" w:cstheme="minorHAnsi"/>
          <w:lang w:val="de-DE"/>
        </w:rPr>
        <w:t xml:space="preserve">Alles, M., Kogan, A., and Vasarhelyi, M.A. </w:t>
      </w:r>
      <w:r w:rsidR="00F33693" w:rsidRPr="00D37BCF">
        <w:rPr>
          <w:rFonts w:asciiTheme="minorHAnsi" w:hAnsiTheme="minorHAnsi" w:cstheme="minorHAnsi"/>
          <w:lang w:val="de-DE"/>
        </w:rPr>
        <w:t xml:space="preserve">2012 </w:t>
      </w:r>
      <w:r w:rsidRPr="00D37BCF">
        <w:rPr>
          <w:rFonts w:asciiTheme="minorHAnsi" w:hAnsiTheme="minorHAnsi" w:cstheme="minorHAnsi"/>
        </w:rPr>
        <w:t>Principles and Problems of Audit Automation, Rutgers Business School, Working Paper, December 17, 2012</w:t>
      </w:r>
    </w:p>
    <w:p w:rsidR="00025230" w:rsidRPr="00D37BCF" w:rsidRDefault="00025230"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Alles, M.G., A. Kogan, M.A. Vasarhelyi, J. Wu. </w:t>
      </w:r>
      <w:r w:rsidR="00AB4E13" w:rsidRPr="00D37BCF">
        <w:rPr>
          <w:rFonts w:asciiTheme="minorHAnsi" w:hAnsiTheme="minorHAnsi" w:cstheme="minorHAnsi"/>
        </w:rPr>
        <w:t>2008</w:t>
      </w:r>
      <w:r w:rsidRPr="00D37BCF">
        <w:rPr>
          <w:rFonts w:asciiTheme="minorHAnsi" w:hAnsiTheme="minorHAnsi" w:cstheme="minorHAnsi"/>
        </w:rPr>
        <w:t xml:space="preserve">. </w:t>
      </w:r>
      <w:r w:rsidRPr="00D37BCF">
        <w:rPr>
          <w:rFonts w:asciiTheme="minorHAnsi" w:hAnsiTheme="minorHAnsi" w:cstheme="minorHAnsi"/>
          <w:i/>
        </w:rPr>
        <w:t>Continuous Data Level Auditing Using Continuity Equations</w:t>
      </w:r>
      <w:r w:rsidRPr="00D37BCF">
        <w:rPr>
          <w:rFonts w:asciiTheme="minorHAnsi" w:hAnsiTheme="minorHAnsi" w:cstheme="minorHAnsi"/>
        </w:rPr>
        <w:t>. Unpublished working paper, Rutgers Business School.</w:t>
      </w:r>
    </w:p>
    <w:p w:rsidR="00067629" w:rsidRPr="00D37BCF" w:rsidRDefault="00067629" w:rsidP="00D37BCF">
      <w:pPr>
        <w:autoSpaceDE w:val="0"/>
        <w:autoSpaceDN w:val="0"/>
        <w:adjustRightInd w:val="0"/>
        <w:spacing w:after="0" w:line="240" w:lineRule="auto"/>
        <w:ind w:left="720" w:hanging="720"/>
        <w:jc w:val="both"/>
        <w:rPr>
          <w:rFonts w:asciiTheme="minorHAnsi" w:hAnsiTheme="minorHAnsi" w:cstheme="minorHAnsi"/>
        </w:rPr>
      </w:pPr>
      <w:r w:rsidRPr="00D37BCF">
        <w:rPr>
          <w:rFonts w:asciiTheme="minorHAnsi" w:hAnsiTheme="minorHAnsi" w:cstheme="minorHAnsi"/>
        </w:rPr>
        <w:t xml:space="preserve">Brynjolfsson, </w:t>
      </w:r>
      <w:r w:rsidR="00AB4E13" w:rsidRPr="00D37BCF">
        <w:rPr>
          <w:rFonts w:asciiTheme="minorHAnsi" w:hAnsiTheme="minorHAnsi" w:cstheme="minorHAnsi"/>
        </w:rPr>
        <w:t>E.</w:t>
      </w:r>
      <w:r w:rsidRPr="00D37BCF">
        <w:rPr>
          <w:rFonts w:asciiTheme="minorHAnsi" w:hAnsiTheme="minorHAnsi" w:cstheme="minorHAnsi"/>
        </w:rPr>
        <w:t xml:space="preserve">; McAfee, </w:t>
      </w:r>
      <w:r w:rsidR="00AB4E13" w:rsidRPr="00D37BCF">
        <w:rPr>
          <w:rFonts w:asciiTheme="minorHAnsi" w:hAnsiTheme="minorHAnsi" w:cstheme="minorHAnsi"/>
        </w:rPr>
        <w:t xml:space="preserve">A. </w:t>
      </w:r>
      <w:r w:rsidRPr="00D37BCF">
        <w:rPr>
          <w:rFonts w:asciiTheme="minorHAnsi" w:hAnsiTheme="minorHAnsi" w:cstheme="minorHAnsi"/>
        </w:rPr>
        <w:t xml:space="preserve">(2012), Winning the Race with Ever-Smarter Machines, </w:t>
      </w:r>
      <w:r w:rsidRPr="00D37BCF">
        <w:rPr>
          <w:rFonts w:asciiTheme="minorHAnsi" w:hAnsiTheme="minorHAnsi" w:cstheme="minorHAnsi"/>
          <w:i/>
        </w:rPr>
        <w:t xml:space="preserve">Sloan Management </w:t>
      </w:r>
      <w:r w:rsidR="00AB4E13" w:rsidRPr="00D37BCF">
        <w:rPr>
          <w:rFonts w:asciiTheme="minorHAnsi" w:hAnsiTheme="minorHAnsi" w:cstheme="minorHAnsi"/>
          <w:i/>
        </w:rPr>
        <w:t>Review</w:t>
      </w:r>
      <w:r w:rsidRPr="00D37BCF">
        <w:rPr>
          <w:rFonts w:asciiTheme="minorHAnsi" w:hAnsiTheme="minorHAnsi" w:cstheme="minorHAnsi"/>
        </w:rPr>
        <w:t>, Winter 2012</w:t>
      </w:r>
      <w:r w:rsidR="00AB4E13" w:rsidRPr="00D37BCF">
        <w:rPr>
          <w:rFonts w:asciiTheme="minorHAnsi" w:hAnsiTheme="minorHAnsi" w:cstheme="minorHAnsi"/>
        </w:rPr>
        <w:t>,</w:t>
      </w:r>
      <w:r w:rsidRPr="00D37BCF">
        <w:rPr>
          <w:rFonts w:asciiTheme="minorHAnsi" w:hAnsiTheme="minorHAnsi" w:cstheme="minorHAnsi"/>
        </w:rPr>
        <w:t xml:space="preserve"> </w:t>
      </w:r>
      <w:r w:rsidR="00AB4E13" w:rsidRPr="00D37BCF">
        <w:rPr>
          <w:rFonts w:asciiTheme="minorHAnsi" w:hAnsiTheme="minorHAnsi" w:cstheme="minorHAnsi"/>
        </w:rPr>
        <w:t>53</w:t>
      </w:r>
      <w:r w:rsidRPr="00D37BCF">
        <w:rPr>
          <w:rFonts w:asciiTheme="minorHAnsi" w:hAnsiTheme="minorHAnsi" w:cstheme="minorHAnsi"/>
        </w:rPr>
        <w:t xml:space="preserve">-57. </w:t>
      </w:r>
    </w:p>
    <w:p w:rsidR="00AB4E13" w:rsidRPr="00D37BCF" w:rsidRDefault="00AB4E13" w:rsidP="00D37BCF">
      <w:pPr>
        <w:autoSpaceDE w:val="0"/>
        <w:autoSpaceDN w:val="0"/>
        <w:adjustRightInd w:val="0"/>
        <w:spacing w:after="0" w:line="240" w:lineRule="auto"/>
        <w:ind w:left="720" w:hanging="720"/>
        <w:jc w:val="both"/>
        <w:rPr>
          <w:rFonts w:asciiTheme="minorHAnsi" w:hAnsiTheme="minorHAnsi" w:cstheme="minorHAnsi"/>
        </w:rPr>
      </w:pPr>
    </w:p>
    <w:p w:rsidR="00067629" w:rsidRPr="00D37BCF" w:rsidRDefault="00067629" w:rsidP="00D37BCF">
      <w:pPr>
        <w:autoSpaceDE w:val="0"/>
        <w:autoSpaceDN w:val="0"/>
        <w:adjustRightInd w:val="0"/>
        <w:spacing w:after="0" w:line="240" w:lineRule="auto"/>
        <w:ind w:left="720" w:hanging="720"/>
        <w:jc w:val="both"/>
        <w:rPr>
          <w:rFonts w:asciiTheme="minorHAnsi" w:hAnsiTheme="minorHAnsi" w:cstheme="minorHAnsi"/>
        </w:rPr>
      </w:pPr>
      <w:r w:rsidRPr="00D37BCF">
        <w:rPr>
          <w:rFonts w:asciiTheme="minorHAnsi" w:hAnsiTheme="minorHAnsi" w:cstheme="minorHAnsi"/>
        </w:rPr>
        <w:t xml:space="preserve">Brynjolfsson, </w:t>
      </w:r>
      <w:r w:rsidR="00AB4E13" w:rsidRPr="00D37BCF">
        <w:rPr>
          <w:rFonts w:asciiTheme="minorHAnsi" w:hAnsiTheme="minorHAnsi" w:cstheme="minorHAnsi"/>
        </w:rPr>
        <w:t>E.</w:t>
      </w:r>
      <w:r w:rsidRPr="00D37BCF">
        <w:rPr>
          <w:rFonts w:asciiTheme="minorHAnsi" w:hAnsiTheme="minorHAnsi" w:cstheme="minorHAnsi"/>
        </w:rPr>
        <w:t xml:space="preserve">; McAfee, </w:t>
      </w:r>
      <w:r w:rsidR="00AB4E13" w:rsidRPr="00D37BCF">
        <w:rPr>
          <w:rFonts w:asciiTheme="minorHAnsi" w:hAnsiTheme="minorHAnsi" w:cstheme="minorHAnsi"/>
        </w:rPr>
        <w:t xml:space="preserve">A. </w:t>
      </w:r>
      <w:r w:rsidRPr="00D37BCF">
        <w:rPr>
          <w:rFonts w:asciiTheme="minorHAnsi" w:hAnsiTheme="minorHAnsi" w:cstheme="minorHAnsi"/>
        </w:rPr>
        <w:t>(2011). Race Against The Machine: How the Digital Revolution is Accelerating Innovation, Driving Productivity, and Irreversibly Transforming Employment and the Economy (Kindle Locations 274-279). Digital Frontier Press. Kindle Edition.</w:t>
      </w:r>
    </w:p>
    <w:p w:rsidR="00BA69E1" w:rsidRPr="00D37BCF" w:rsidRDefault="00BA69E1" w:rsidP="00D37BCF">
      <w:pPr>
        <w:autoSpaceDE w:val="0"/>
        <w:autoSpaceDN w:val="0"/>
        <w:adjustRightInd w:val="0"/>
        <w:spacing w:after="0"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Byrne</w:t>
      </w:r>
      <w:r w:rsidR="00906E4E" w:rsidRPr="00D37BCF">
        <w:rPr>
          <w:rFonts w:asciiTheme="minorHAnsi" w:hAnsiTheme="minorHAnsi" w:cstheme="minorHAnsi"/>
          <w:lang w:eastAsia="zh-CN"/>
        </w:rPr>
        <w:t>s, P., Criste, T., Stewart, T.,</w:t>
      </w:r>
      <w:r w:rsidRPr="00D37BCF">
        <w:rPr>
          <w:rFonts w:asciiTheme="minorHAnsi" w:hAnsiTheme="minorHAnsi" w:cstheme="minorHAnsi"/>
          <w:lang w:eastAsia="zh-CN"/>
        </w:rPr>
        <w:t xml:space="preserve"> Vasarhelyi, M. A. 2013. Blue Sky Scenario:  Facts and </w:t>
      </w:r>
    </w:p>
    <w:p w:rsidR="00BA69E1" w:rsidRPr="00D37BCF" w:rsidRDefault="00BA69E1" w:rsidP="00D37BCF">
      <w:pPr>
        <w:autoSpaceDE w:val="0"/>
        <w:autoSpaceDN w:val="0"/>
        <w:adjustRightInd w:val="0"/>
        <w:spacing w:after="0"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ab/>
        <w:t>Factoids on the Future Audit</w:t>
      </w:r>
      <w:r w:rsidR="00E7465D" w:rsidRPr="00D37BCF">
        <w:rPr>
          <w:rFonts w:asciiTheme="minorHAnsi" w:hAnsiTheme="minorHAnsi" w:cstheme="minorHAnsi"/>
          <w:lang w:eastAsia="zh-CN"/>
        </w:rPr>
        <w:t>, AICPA, forthcoming.</w:t>
      </w:r>
    </w:p>
    <w:p w:rsidR="00CB3A2B" w:rsidRPr="00D37BCF" w:rsidRDefault="00CB3A2B" w:rsidP="00D37BCF">
      <w:pPr>
        <w:autoSpaceDE w:val="0"/>
        <w:autoSpaceDN w:val="0"/>
        <w:adjustRightInd w:val="0"/>
        <w:spacing w:after="0" w:line="240" w:lineRule="auto"/>
        <w:ind w:left="720" w:hanging="720"/>
        <w:jc w:val="both"/>
        <w:rPr>
          <w:rFonts w:asciiTheme="minorHAnsi" w:hAnsiTheme="minorHAnsi" w:cstheme="minorHAnsi"/>
        </w:rPr>
      </w:pPr>
      <w:r w:rsidRPr="00D37BCF">
        <w:rPr>
          <w:rFonts w:asciiTheme="minorHAnsi" w:hAnsiTheme="minorHAnsi" w:cstheme="minorHAnsi"/>
          <w:lang w:eastAsia="zh-CN"/>
        </w:rPr>
        <w:t xml:space="preserve">Cao, J., Nicolaou, A., Bhattacharya, S. 2013. A Longitudinal Examination of Enterprise Resource Planning Systems Post-Implementation Enhancements. </w:t>
      </w:r>
      <w:r w:rsidRPr="00D37BCF">
        <w:rPr>
          <w:rFonts w:asciiTheme="minorHAnsi" w:hAnsiTheme="minorHAnsi" w:cstheme="minorHAnsi"/>
          <w:i/>
          <w:lang w:eastAsia="zh-CN"/>
        </w:rPr>
        <w:t>Journal of Information Systems</w:t>
      </w:r>
      <w:r w:rsidRPr="00D37BCF">
        <w:rPr>
          <w:rFonts w:asciiTheme="minorHAnsi" w:hAnsiTheme="minorHAnsi" w:cstheme="minorHAnsi"/>
          <w:lang w:eastAsia="zh-CN"/>
        </w:rPr>
        <w:t>, 27 (1).</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 xml:space="preserve">Carson, E., and </w:t>
      </w:r>
      <w:r w:rsidR="00AB4E13" w:rsidRPr="00D37BCF">
        <w:rPr>
          <w:rFonts w:asciiTheme="minorHAnsi" w:hAnsiTheme="minorHAnsi" w:cstheme="minorHAnsi"/>
          <w:lang w:eastAsia="zh-CN"/>
        </w:rPr>
        <w:t>--</w:t>
      </w:r>
      <w:r w:rsidRPr="00D37BCF">
        <w:rPr>
          <w:rFonts w:asciiTheme="minorHAnsi" w:hAnsiTheme="minorHAnsi" w:cstheme="minorHAnsi"/>
          <w:lang w:eastAsia="zh-CN"/>
        </w:rPr>
        <w:t>Dowling</w:t>
      </w:r>
      <w:r w:rsidR="00AB4E13" w:rsidRPr="00D37BCF">
        <w:rPr>
          <w:rFonts w:asciiTheme="minorHAnsi" w:hAnsiTheme="minorHAnsi" w:cstheme="minorHAnsi"/>
          <w:lang w:eastAsia="zh-CN"/>
        </w:rPr>
        <w:t>, C</w:t>
      </w:r>
      <w:r w:rsidRPr="00D37BCF">
        <w:rPr>
          <w:rFonts w:asciiTheme="minorHAnsi" w:hAnsiTheme="minorHAnsi" w:cstheme="minorHAnsi"/>
          <w:lang w:eastAsia="zh-CN"/>
        </w:rPr>
        <w:t xml:space="preserve">. 2012. The competitive advantage of audit support systems: </w:t>
      </w:r>
      <w:r w:rsidR="00AB4E13" w:rsidRPr="00D37BCF">
        <w:rPr>
          <w:rFonts w:asciiTheme="minorHAnsi" w:hAnsiTheme="minorHAnsi" w:cstheme="minorHAnsi"/>
          <w:lang w:eastAsia="zh-CN"/>
        </w:rPr>
        <w:t xml:space="preserve">The </w:t>
      </w:r>
      <w:r w:rsidRPr="00D37BCF">
        <w:rPr>
          <w:rFonts w:asciiTheme="minorHAnsi" w:hAnsiTheme="minorHAnsi" w:cstheme="minorHAnsi"/>
          <w:lang w:eastAsia="zh-CN"/>
        </w:rPr>
        <w:t>association between extent of structure and audit pricing</w:t>
      </w:r>
      <w:r w:rsidRPr="00D37BCF">
        <w:rPr>
          <w:rFonts w:asciiTheme="minorHAnsi" w:hAnsiTheme="minorHAnsi" w:cstheme="minorHAnsi"/>
          <w:i/>
          <w:lang w:eastAsia="zh-CN"/>
        </w:rPr>
        <w:t>. Journal of Information Systems</w:t>
      </w:r>
      <w:r w:rsidRPr="00D37BCF">
        <w:rPr>
          <w:rFonts w:asciiTheme="minorHAnsi" w:hAnsiTheme="minorHAnsi" w:cstheme="minorHAnsi"/>
          <w:lang w:eastAsia="zh-CN"/>
        </w:rPr>
        <w:t xml:space="preserve"> 26 (1). </w:t>
      </w:r>
      <w:r w:rsidR="00BF5F6D" w:rsidRPr="00D37BCF">
        <w:rPr>
          <w:rFonts w:asciiTheme="minorHAnsi" w:hAnsiTheme="minorHAnsi" w:cstheme="minorHAnsi"/>
          <w:lang w:eastAsia="zh-CN"/>
        </w:rPr>
        <w:t>35-49</w:t>
      </w:r>
      <w:r w:rsidRPr="00D37BCF">
        <w:rPr>
          <w:rFonts w:asciiTheme="minorHAnsi" w:hAnsiTheme="minorHAnsi" w:cstheme="minorHAnsi"/>
          <w:lang w:eastAsia="zh-CN"/>
        </w:rPr>
        <w:t>.</w:t>
      </w:r>
    </w:p>
    <w:p w:rsidR="00025230" w:rsidRPr="00D37BCF" w:rsidRDefault="00025230"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Christensen, C.M. </w:t>
      </w:r>
      <w:r w:rsidR="00F33693" w:rsidRPr="00D37BCF">
        <w:rPr>
          <w:rFonts w:asciiTheme="minorHAnsi" w:hAnsiTheme="minorHAnsi" w:cstheme="minorHAnsi"/>
        </w:rPr>
        <w:t xml:space="preserve">1997. </w:t>
      </w:r>
      <w:r w:rsidRPr="00D37BCF">
        <w:rPr>
          <w:rFonts w:asciiTheme="minorHAnsi" w:hAnsiTheme="minorHAnsi" w:cstheme="minorHAnsi"/>
        </w:rPr>
        <w:t xml:space="preserve">The Innovator’s Dillemma: </w:t>
      </w:r>
      <w:r w:rsidR="00F33693" w:rsidRPr="00D37BCF">
        <w:rPr>
          <w:rFonts w:asciiTheme="minorHAnsi" w:hAnsiTheme="minorHAnsi" w:cstheme="minorHAnsi"/>
        </w:rPr>
        <w:t>W</w:t>
      </w:r>
      <w:r w:rsidRPr="00D37BCF">
        <w:rPr>
          <w:rFonts w:asciiTheme="minorHAnsi" w:hAnsiTheme="minorHAnsi" w:cstheme="minorHAnsi"/>
        </w:rPr>
        <w:t xml:space="preserve">hen new technologies cause great firms to fail,  </w:t>
      </w:r>
      <w:r w:rsidR="00F33693" w:rsidRPr="00D37BCF">
        <w:rPr>
          <w:rFonts w:asciiTheme="minorHAnsi" w:hAnsiTheme="minorHAnsi" w:cstheme="minorHAnsi"/>
        </w:rPr>
        <w:t>1997.</w:t>
      </w:r>
    </w:p>
    <w:p w:rsidR="002C1F9E" w:rsidRPr="00D37BCF" w:rsidRDefault="002C1F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Cohen, E.C. </w:t>
      </w:r>
      <w:r w:rsidR="00BF5F6D" w:rsidRPr="00D37BCF">
        <w:rPr>
          <w:rFonts w:asciiTheme="minorHAnsi" w:hAnsiTheme="minorHAnsi" w:cstheme="minorHAnsi"/>
        </w:rPr>
        <w:t>2009.</w:t>
      </w:r>
      <w:r w:rsidR="00BF5F6D" w:rsidRPr="00D37BCF">
        <w:rPr>
          <w:rFonts w:asciiTheme="minorHAnsi" w:hAnsiTheme="minorHAnsi" w:cstheme="minorHAnsi"/>
          <w:b/>
          <w:bCs/>
        </w:rPr>
        <w:t xml:space="preserve"> </w:t>
      </w:r>
      <w:r w:rsidRPr="00D37BCF">
        <w:rPr>
          <w:rFonts w:asciiTheme="minorHAnsi" w:hAnsiTheme="minorHAnsi" w:cstheme="minorHAnsi"/>
          <w:b/>
          <w:bCs/>
        </w:rPr>
        <w:t>XBRL's Global Ledger Framework: Exploring the Standardised Missing Link to ERP</w:t>
      </w:r>
      <w:r w:rsidR="00BF5F6D" w:rsidRPr="00D37BCF">
        <w:rPr>
          <w:rFonts w:asciiTheme="minorHAnsi" w:hAnsiTheme="minorHAnsi" w:cstheme="minorHAnsi"/>
          <w:b/>
          <w:bCs/>
        </w:rPr>
        <w:t xml:space="preserve"> integration</w:t>
      </w:r>
      <w:r w:rsidRPr="00D37BCF">
        <w:rPr>
          <w:rFonts w:asciiTheme="minorHAnsi" w:hAnsiTheme="minorHAnsi" w:cstheme="minorHAnsi"/>
          <w:i/>
        </w:rPr>
        <w:t xml:space="preserve">International Journal of </w:t>
      </w:r>
      <w:r w:rsidR="00BF5F6D" w:rsidRPr="00D37BCF">
        <w:rPr>
          <w:rFonts w:asciiTheme="minorHAnsi" w:hAnsiTheme="minorHAnsi" w:cstheme="minorHAnsi"/>
          <w:i/>
        </w:rPr>
        <w:t>D</w:t>
      </w:r>
      <w:r w:rsidRPr="00D37BCF">
        <w:rPr>
          <w:rFonts w:asciiTheme="minorHAnsi" w:hAnsiTheme="minorHAnsi" w:cstheme="minorHAnsi"/>
          <w:i/>
        </w:rPr>
        <w:t>isclosure and Governance</w:t>
      </w:r>
      <w:r w:rsidRPr="00D37BCF">
        <w:rPr>
          <w:rFonts w:asciiTheme="minorHAnsi" w:hAnsiTheme="minorHAnsi" w:cstheme="minorHAnsi"/>
        </w:rPr>
        <w:t xml:space="preserve">, (2009) </w:t>
      </w:r>
      <w:r w:rsidRPr="00D37BCF">
        <w:rPr>
          <w:rFonts w:asciiTheme="minorHAnsi" w:hAnsiTheme="minorHAnsi" w:cstheme="minorHAnsi"/>
          <w:b/>
          <w:bCs/>
        </w:rPr>
        <w:t>6,</w:t>
      </w:r>
      <w:r w:rsidRPr="00D37BCF">
        <w:rPr>
          <w:rFonts w:asciiTheme="minorHAnsi" w:hAnsiTheme="minorHAnsi" w:cstheme="minorHAnsi"/>
        </w:rPr>
        <w:t xml:space="preserve"> 188–206. doi:10.105,</w:t>
      </w:r>
      <w:r w:rsidR="00C34630" w:rsidRPr="00D37BCF">
        <w:rPr>
          <w:rFonts w:asciiTheme="minorHAnsi" w:hAnsiTheme="minorHAnsi" w:cstheme="minorHAnsi"/>
        </w:rPr>
        <w:t xml:space="preserve"> </w:t>
      </w:r>
      <w:hyperlink r:id="rId11" w:history="1">
        <w:r w:rsidRPr="00D37BCF">
          <w:rPr>
            <w:rStyle w:val="Hyperlink"/>
            <w:rFonts w:asciiTheme="minorHAnsi" w:hAnsiTheme="minorHAnsi" w:cstheme="minorHAnsi"/>
            <w:color w:val="auto"/>
          </w:rPr>
          <w:t>http://www.palgrave-journals.com/jdg/journal/v6/n3/abs/jdg20095a.html</w:t>
        </w:r>
      </w:hyperlink>
    </w:p>
    <w:p w:rsidR="00025230" w:rsidRPr="00D37BCF" w:rsidRDefault="00BD2BCD" w:rsidP="00D37BCF">
      <w:pPr>
        <w:spacing w:line="240" w:lineRule="auto"/>
        <w:ind w:left="720" w:hanging="720"/>
        <w:jc w:val="both"/>
        <w:rPr>
          <w:rFonts w:asciiTheme="minorHAnsi" w:hAnsiTheme="minorHAnsi" w:cstheme="minorHAnsi"/>
        </w:rPr>
      </w:pPr>
      <w:hyperlink r:id="rId12" w:history="1">
        <w:r w:rsidR="00025230" w:rsidRPr="00D37BCF">
          <w:rPr>
            <w:rStyle w:val="Hyperlink"/>
            <w:rFonts w:asciiTheme="minorHAnsi" w:hAnsiTheme="minorHAnsi" w:cstheme="minorHAnsi"/>
            <w:color w:val="auto"/>
          </w:rPr>
          <w:t>Davenport</w:t>
        </w:r>
      </w:hyperlink>
      <w:r w:rsidR="00025230" w:rsidRPr="00D37BCF">
        <w:rPr>
          <w:rStyle w:val="ptbrand"/>
          <w:rFonts w:asciiTheme="minorHAnsi" w:hAnsiTheme="minorHAnsi" w:cstheme="minorHAnsi"/>
        </w:rPr>
        <w:t xml:space="preserve">, T. and </w:t>
      </w:r>
      <w:hyperlink r:id="rId13" w:history="1">
        <w:r w:rsidR="00025230" w:rsidRPr="00D37BCF">
          <w:rPr>
            <w:rStyle w:val="Hyperlink"/>
            <w:rFonts w:asciiTheme="minorHAnsi" w:hAnsiTheme="minorHAnsi" w:cstheme="minorHAnsi"/>
            <w:color w:val="auto"/>
          </w:rPr>
          <w:t>Harris</w:t>
        </w:r>
      </w:hyperlink>
      <w:r w:rsidR="00025230" w:rsidRPr="00D37BCF">
        <w:rPr>
          <w:rStyle w:val="ptbrand"/>
          <w:rFonts w:asciiTheme="minorHAnsi" w:hAnsiTheme="minorHAnsi" w:cstheme="minorHAnsi"/>
        </w:rPr>
        <w:t xml:space="preserve">, J. </w:t>
      </w:r>
      <w:r w:rsidR="00BF5F6D" w:rsidRPr="00D37BCF">
        <w:rPr>
          <w:rStyle w:val="ptbrand"/>
          <w:rFonts w:asciiTheme="minorHAnsi" w:hAnsiTheme="minorHAnsi" w:cstheme="minorHAnsi"/>
        </w:rPr>
        <w:t xml:space="preserve">2007. </w:t>
      </w:r>
      <w:hyperlink r:id="rId14" w:history="1">
        <w:r w:rsidR="00025230" w:rsidRPr="00D37BCF">
          <w:rPr>
            <w:rStyle w:val="Hyperlink"/>
            <w:rFonts w:asciiTheme="minorHAnsi" w:hAnsiTheme="minorHAnsi" w:cstheme="minorHAnsi"/>
            <w:color w:val="auto"/>
          </w:rPr>
          <w:t>Competing on Analytics: The New Science of Winning</w:t>
        </w:r>
      </w:hyperlink>
      <w:r w:rsidR="00025230" w:rsidRPr="00D37BCF">
        <w:rPr>
          <w:rFonts w:asciiTheme="minorHAnsi" w:hAnsiTheme="minorHAnsi" w:cstheme="minorHAnsi"/>
        </w:rPr>
        <w:t xml:space="preserve">, Harvard Business School Press, </w:t>
      </w:r>
      <w:r w:rsidR="00025230" w:rsidRPr="00D37BCF">
        <w:rPr>
          <w:rStyle w:val="bindingandrelease"/>
          <w:rFonts w:asciiTheme="minorHAnsi" w:hAnsiTheme="minorHAnsi" w:cstheme="minorHAnsi"/>
        </w:rPr>
        <w:t>2007.</w:t>
      </w:r>
      <w:r w:rsidR="00025230" w:rsidRPr="00D37BCF">
        <w:rPr>
          <w:rFonts w:asciiTheme="minorHAnsi" w:hAnsiTheme="minorHAnsi" w:cstheme="minorHAnsi"/>
        </w:rPr>
        <w:t xml:space="preserve"> </w:t>
      </w:r>
    </w:p>
    <w:p w:rsidR="00AB4E13" w:rsidRPr="00D37BCF" w:rsidRDefault="00AB4E13"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 xml:space="preserve">Davidson, B. I., Desai, N. K., Gerard, G. J. 2013. The Effect of Continuous Auditing on the Relationship between Internal Audit Sourcing and the External Auditor’s Reliance on the Internal Audit Function. </w:t>
      </w:r>
      <w:r w:rsidRPr="00D37BCF">
        <w:rPr>
          <w:rFonts w:asciiTheme="minorHAnsi" w:hAnsiTheme="minorHAnsi" w:cstheme="minorHAnsi"/>
          <w:i/>
          <w:lang w:eastAsia="zh-CN"/>
        </w:rPr>
        <w:t>Journal of Information Systems,</w:t>
      </w:r>
      <w:r w:rsidRPr="00D37BCF">
        <w:rPr>
          <w:rFonts w:asciiTheme="minorHAnsi" w:hAnsiTheme="minorHAnsi" w:cstheme="minorHAnsi"/>
          <w:lang w:eastAsia="zh-CN"/>
        </w:rPr>
        <w:t xml:space="preserve"> 27 (1)</w:t>
      </w:r>
    </w:p>
    <w:p w:rsidR="005E5929" w:rsidRPr="00D37BCF" w:rsidRDefault="005E5929" w:rsidP="00D37BCF">
      <w:pPr>
        <w:pStyle w:val="NoSpacing"/>
        <w:rPr>
          <w:lang w:eastAsia="zh-CN"/>
        </w:rPr>
      </w:pPr>
      <w:r w:rsidRPr="00D37BCF">
        <w:rPr>
          <w:lang w:eastAsia="zh-CN"/>
        </w:rPr>
        <w:t xml:space="preserve">Debreceny, R., and Gray, G. 2013.  IT Governance and Process Maturity:  A Multinational Field Study, </w:t>
      </w:r>
    </w:p>
    <w:p w:rsidR="005E5929" w:rsidRPr="00D37BCF" w:rsidRDefault="005E5929" w:rsidP="00D37BCF">
      <w:pPr>
        <w:pStyle w:val="NoSpacing"/>
        <w:rPr>
          <w:lang w:eastAsia="zh-CN"/>
        </w:rPr>
      </w:pPr>
      <w:r w:rsidRPr="00D37BCF">
        <w:rPr>
          <w:lang w:eastAsia="zh-CN"/>
        </w:rPr>
        <w:tab/>
        <w:t>Journal of Information Systems, 27, 1.</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rPr>
        <w:t xml:space="preserve">Dowling, C. and </w:t>
      </w:r>
      <w:r w:rsidR="00BF5F6D" w:rsidRPr="00D37BCF">
        <w:rPr>
          <w:rFonts w:asciiTheme="minorHAnsi" w:hAnsiTheme="minorHAnsi" w:cstheme="minorHAnsi"/>
        </w:rPr>
        <w:t>--</w:t>
      </w:r>
      <w:r w:rsidRPr="00D37BCF">
        <w:rPr>
          <w:rFonts w:asciiTheme="minorHAnsi" w:hAnsiTheme="minorHAnsi" w:cstheme="minorHAnsi"/>
        </w:rPr>
        <w:t>Leech</w:t>
      </w:r>
      <w:r w:rsidR="00BF5F6D" w:rsidRPr="00D37BCF">
        <w:rPr>
          <w:rFonts w:asciiTheme="minorHAnsi" w:hAnsiTheme="minorHAnsi" w:cstheme="minorHAnsi"/>
        </w:rPr>
        <w:t>, S</w:t>
      </w:r>
      <w:r w:rsidRPr="00D37BCF">
        <w:rPr>
          <w:rFonts w:asciiTheme="minorHAnsi" w:hAnsiTheme="minorHAnsi" w:cstheme="minorHAnsi"/>
        </w:rPr>
        <w:t xml:space="preserve">. 2007. Audit support systems and decision aids: Current practice and opportunities for future research. </w:t>
      </w:r>
      <w:r w:rsidRPr="00D37BCF">
        <w:rPr>
          <w:rFonts w:asciiTheme="minorHAnsi" w:hAnsiTheme="minorHAnsi" w:cstheme="minorHAnsi"/>
          <w:i/>
        </w:rPr>
        <w:t>International Journal of Accounting Information Systems</w:t>
      </w:r>
      <w:r w:rsidR="00BF5F6D" w:rsidRPr="00D37BCF">
        <w:rPr>
          <w:rFonts w:asciiTheme="minorHAnsi" w:hAnsiTheme="minorHAnsi" w:cstheme="minorHAnsi"/>
          <w:i/>
        </w:rPr>
        <w:t>,</w:t>
      </w:r>
      <w:r w:rsidRPr="00D37BCF">
        <w:rPr>
          <w:rFonts w:asciiTheme="minorHAnsi" w:hAnsiTheme="minorHAnsi" w:cstheme="minorHAnsi"/>
        </w:rPr>
        <w:t xml:space="preserve"> 8</w:t>
      </w:r>
      <w:r w:rsidR="00CB3A2B" w:rsidRPr="00D37BCF">
        <w:rPr>
          <w:rFonts w:asciiTheme="minorHAnsi" w:hAnsiTheme="minorHAnsi" w:cstheme="minorHAnsi"/>
        </w:rPr>
        <w:t xml:space="preserve">, </w:t>
      </w:r>
      <w:r w:rsidRPr="00D37BCF">
        <w:rPr>
          <w:rFonts w:asciiTheme="minorHAnsi" w:hAnsiTheme="minorHAnsi" w:cstheme="minorHAnsi"/>
        </w:rPr>
        <w:t>92–116.</w:t>
      </w:r>
    </w:p>
    <w:p w:rsidR="00CB3A2B" w:rsidRPr="00D37BCF" w:rsidRDefault="00CB3A2B"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lastRenderedPageBreak/>
        <w:t xml:space="preserve">Du, H., Vasarhelyi, M. A., Zheng, X.  2013. XBRL Mandate: Thousands of Filing Errors and So What?. </w:t>
      </w:r>
      <w:r w:rsidRPr="00D37BCF">
        <w:rPr>
          <w:rFonts w:asciiTheme="minorHAnsi" w:hAnsiTheme="minorHAnsi" w:cstheme="minorHAnsi"/>
          <w:i/>
          <w:lang w:eastAsia="zh-CN"/>
        </w:rPr>
        <w:t>Journal of Information Systems,</w:t>
      </w:r>
      <w:r w:rsidRPr="00D37BCF">
        <w:rPr>
          <w:rFonts w:asciiTheme="minorHAnsi" w:hAnsiTheme="minorHAnsi" w:cstheme="minorHAnsi"/>
          <w:lang w:eastAsia="zh-CN"/>
        </w:rPr>
        <w:t xml:space="preserve"> 27 (1).</w:t>
      </w:r>
    </w:p>
    <w:p w:rsidR="00CB3A2B" w:rsidRPr="00D37BCF" w:rsidRDefault="00CB3A2B"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 xml:space="preserve">Gailly, F., and Geerts, G. 2013. Ontology-Driven Business Rule Specification. </w:t>
      </w:r>
      <w:r w:rsidRPr="00D37BCF">
        <w:rPr>
          <w:rFonts w:asciiTheme="minorHAnsi" w:hAnsiTheme="minorHAnsi" w:cstheme="minorHAnsi"/>
          <w:i/>
          <w:lang w:eastAsia="zh-CN"/>
        </w:rPr>
        <w:t>Journal of Information Systems</w:t>
      </w:r>
      <w:r w:rsidRPr="00D37BCF">
        <w:rPr>
          <w:rFonts w:asciiTheme="minorHAnsi" w:hAnsiTheme="minorHAnsi" w:cstheme="minorHAnsi"/>
          <w:lang w:eastAsia="zh-CN"/>
        </w:rPr>
        <w:t>, 27 (1).</w:t>
      </w:r>
    </w:p>
    <w:p w:rsidR="000709C7" w:rsidRPr="00D37BCF" w:rsidRDefault="000709C7" w:rsidP="00D37BCF">
      <w:pPr>
        <w:spacing w:line="240" w:lineRule="auto"/>
        <w:ind w:left="720" w:hanging="720"/>
        <w:jc w:val="both"/>
        <w:rPr>
          <w:rFonts w:asciiTheme="minorHAnsi" w:hAnsiTheme="minorHAnsi" w:cstheme="minorHAnsi"/>
          <w:noProof/>
        </w:rPr>
      </w:pPr>
      <w:r w:rsidRPr="00D37BCF">
        <w:rPr>
          <w:rFonts w:asciiTheme="minorHAnsi" w:hAnsiTheme="minorHAnsi" w:cstheme="minorHAnsi"/>
          <w:lang w:eastAsia="zh-CN"/>
        </w:rPr>
        <w:t xml:space="preserve">Geerts, G. L., McCarthy, W. E. 2002.  An Ontological Analysis of the Exonomic Primitives of the Extended-REA Enterprise Information Architecture, </w:t>
      </w:r>
      <w:r w:rsidRPr="00D37BCF">
        <w:rPr>
          <w:rFonts w:asciiTheme="minorHAnsi" w:hAnsiTheme="minorHAnsi" w:cstheme="minorHAnsi"/>
          <w:i/>
          <w:lang w:eastAsia="zh-CN"/>
        </w:rPr>
        <w:t xml:space="preserve">International Journal of Accounting Information Systems, </w:t>
      </w:r>
      <w:r w:rsidRPr="00D37BCF">
        <w:rPr>
          <w:rFonts w:asciiTheme="minorHAnsi" w:hAnsiTheme="minorHAnsi" w:cstheme="minorHAnsi"/>
          <w:lang w:eastAsia="zh-CN"/>
        </w:rPr>
        <w:t>3, 1, 1-16.</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rPr>
        <w:t xml:space="preserve">Hammer, M. 1990. Reengineering work: Don’t automate, obliterate. </w:t>
      </w:r>
      <w:r w:rsidRPr="00D37BCF">
        <w:rPr>
          <w:rFonts w:asciiTheme="minorHAnsi" w:hAnsiTheme="minorHAnsi" w:cstheme="minorHAnsi"/>
          <w:i/>
        </w:rPr>
        <w:t>Harvard Business Review</w:t>
      </w:r>
      <w:r w:rsidRPr="00D37BCF">
        <w:rPr>
          <w:rFonts w:asciiTheme="minorHAnsi" w:hAnsiTheme="minorHAnsi" w:cstheme="minorHAnsi"/>
        </w:rPr>
        <w:t>, July-August, 104–112.</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rPr>
        <w:t xml:space="preserve">Janvrin, D., Bierstaker, </w:t>
      </w:r>
      <w:r w:rsidR="00CB3A2B" w:rsidRPr="00D37BCF">
        <w:rPr>
          <w:rFonts w:asciiTheme="minorHAnsi" w:hAnsiTheme="minorHAnsi" w:cstheme="minorHAnsi"/>
        </w:rPr>
        <w:t xml:space="preserve">J., </w:t>
      </w:r>
      <w:r w:rsidRPr="00D37BCF">
        <w:rPr>
          <w:rFonts w:asciiTheme="minorHAnsi" w:hAnsiTheme="minorHAnsi" w:cstheme="minorHAnsi"/>
        </w:rPr>
        <w:t>Lowe</w:t>
      </w:r>
      <w:r w:rsidR="00CB3A2B" w:rsidRPr="00D37BCF">
        <w:rPr>
          <w:rFonts w:asciiTheme="minorHAnsi" w:hAnsiTheme="minorHAnsi" w:cstheme="minorHAnsi"/>
        </w:rPr>
        <w:t>, D. J</w:t>
      </w:r>
      <w:r w:rsidRPr="00D37BCF">
        <w:rPr>
          <w:rFonts w:asciiTheme="minorHAnsi" w:hAnsiTheme="minorHAnsi" w:cstheme="minorHAnsi"/>
        </w:rPr>
        <w:t xml:space="preserve">. 2008. An Examination of Audit Information Technology Use and Perceived Importance. </w:t>
      </w:r>
      <w:r w:rsidRPr="00D37BCF">
        <w:rPr>
          <w:rFonts w:asciiTheme="minorHAnsi" w:hAnsiTheme="minorHAnsi" w:cstheme="minorHAnsi"/>
          <w:i/>
        </w:rPr>
        <w:t>Accounting Horizons</w:t>
      </w:r>
      <w:r w:rsidRPr="00D37BCF">
        <w:rPr>
          <w:rFonts w:asciiTheme="minorHAnsi" w:hAnsiTheme="minorHAnsi" w:cstheme="minorHAnsi"/>
        </w:rPr>
        <w:t>, 22, 1</w:t>
      </w:r>
      <w:r w:rsidR="00CB3A2B" w:rsidRPr="00D37BCF">
        <w:rPr>
          <w:rFonts w:asciiTheme="minorHAnsi" w:hAnsiTheme="minorHAnsi" w:cstheme="minorHAnsi"/>
        </w:rPr>
        <w:t xml:space="preserve">, </w:t>
      </w:r>
      <w:r w:rsidRPr="00D37BCF">
        <w:rPr>
          <w:rFonts w:asciiTheme="minorHAnsi" w:hAnsiTheme="minorHAnsi" w:cstheme="minorHAnsi"/>
        </w:rPr>
        <w:t>1–21.</w:t>
      </w:r>
    </w:p>
    <w:p w:rsidR="00025230" w:rsidRPr="00D37BCF" w:rsidRDefault="00025230"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Keenoy, C. L. 1958. The impact of automation on the field of accounting. </w:t>
      </w:r>
      <w:r w:rsidRPr="00D37BCF">
        <w:rPr>
          <w:rFonts w:asciiTheme="minorHAnsi" w:hAnsiTheme="minorHAnsi" w:cstheme="minorHAnsi"/>
          <w:i/>
        </w:rPr>
        <w:t>The Accounting Review</w:t>
      </w:r>
      <w:r w:rsidRPr="00D37BCF">
        <w:rPr>
          <w:rFonts w:asciiTheme="minorHAnsi" w:hAnsiTheme="minorHAnsi" w:cstheme="minorHAnsi"/>
        </w:rPr>
        <w:t>, 33,  2, (April), 230–236.</w:t>
      </w:r>
    </w:p>
    <w:p w:rsidR="0077524F" w:rsidRPr="00D37BCF" w:rsidRDefault="0077524F" w:rsidP="00D37BCF">
      <w:pPr>
        <w:widowControl w:val="0"/>
        <w:overflowPunct w:val="0"/>
        <w:adjustRightInd w:val="0"/>
        <w:spacing w:after="120" w:line="240" w:lineRule="auto"/>
        <w:ind w:left="720" w:hanging="720"/>
        <w:jc w:val="both"/>
        <w:rPr>
          <w:rFonts w:asciiTheme="minorHAnsi" w:hAnsiTheme="minorHAnsi" w:cstheme="minorHAnsi"/>
        </w:rPr>
      </w:pPr>
      <w:r w:rsidRPr="00D37BCF">
        <w:rPr>
          <w:rFonts w:asciiTheme="minorHAnsi" w:hAnsiTheme="minorHAnsi" w:cstheme="minorHAnsi"/>
        </w:rPr>
        <w:t xml:space="preserve">Kogan, A., Alles, M.G., Vasarhelyi, M.A., </w:t>
      </w:r>
      <w:r w:rsidR="00493307" w:rsidRPr="00D37BCF">
        <w:rPr>
          <w:rFonts w:asciiTheme="minorHAnsi" w:hAnsiTheme="minorHAnsi" w:cstheme="minorHAnsi"/>
        </w:rPr>
        <w:t xml:space="preserve">and </w:t>
      </w:r>
      <w:r w:rsidRPr="00D37BCF">
        <w:rPr>
          <w:rFonts w:asciiTheme="minorHAnsi" w:hAnsiTheme="minorHAnsi" w:cstheme="minorHAnsi"/>
        </w:rPr>
        <w:t>Wu, J.</w:t>
      </w:r>
      <w:r w:rsidR="00493307" w:rsidRPr="00D37BCF">
        <w:rPr>
          <w:rFonts w:asciiTheme="minorHAnsi" w:hAnsiTheme="minorHAnsi" w:cstheme="minorHAnsi"/>
        </w:rPr>
        <w:t xml:space="preserve"> 2013. </w:t>
      </w:r>
      <w:r w:rsidRPr="00D37BCF">
        <w:rPr>
          <w:rFonts w:asciiTheme="minorHAnsi" w:hAnsiTheme="minorHAnsi" w:cstheme="minorHAnsi"/>
        </w:rPr>
        <w:t>Design and Evaluation of a Continuous Data Level Auditing System, Rutgers Business School, Working paper, March 19, 2013</w:t>
      </w:r>
      <w:r w:rsidRPr="00D37BCF">
        <w:rPr>
          <w:rFonts w:asciiTheme="minorHAnsi" w:hAnsiTheme="minorHAnsi" w:cstheme="minorHAnsi"/>
          <w:vertAlign w:val="superscript"/>
        </w:rPr>
        <w:footnoteReference w:customMarkFollows="1" w:id="3"/>
        <w:t>*</w:t>
      </w:r>
      <w:r w:rsidR="00493307" w:rsidRPr="00D37BCF">
        <w:rPr>
          <w:rFonts w:asciiTheme="minorHAnsi" w:hAnsiTheme="minorHAnsi" w:cstheme="minorHAnsi"/>
          <w:vertAlign w:val="superscript"/>
        </w:rPr>
        <w:t xml:space="preserve"> </w:t>
      </w:r>
    </w:p>
    <w:p w:rsidR="00F33693" w:rsidRPr="00D37BCF" w:rsidRDefault="00F33693"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Krahel, J.P., Formalization of Accounting Standards, PhD Disertation, Rutgers, The State University of New Jersey, Newark. Rutgers Business School, 2012.</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rPr>
        <w:t xml:space="preserve">Parasuraman, R., Sheridan, T.B. </w:t>
      </w:r>
      <w:r w:rsidR="00493307" w:rsidRPr="00D37BCF">
        <w:rPr>
          <w:rFonts w:asciiTheme="minorHAnsi" w:hAnsiTheme="minorHAnsi" w:cstheme="minorHAnsi"/>
        </w:rPr>
        <w:t xml:space="preserve">and </w:t>
      </w:r>
      <w:r w:rsidRPr="00D37BCF">
        <w:rPr>
          <w:rFonts w:asciiTheme="minorHAnsi" w:hAnsiTheme="minorHAnsi" w:cstheme="minorHAnsi"/>
        </w:rPr>
        <w:t xml:space="preserve">Wickens, C.D. </w:t>
      </w:r>
      <w:r w:rsidR="00493307" w:rsidRPr="00D37BCF">
        <w:rPr>
          <w:rFonts w:asciiTheme="minorHAnsi" w:hAnsiTheme="minorHAnsi" w:cstheme="minorHAnsi"/>
        </w:rPr>
        <w:t xml:space="preserve">2000. </w:t>
      </w:r>
      <w:r w:rsidRPr="00D37BCF">
        <w:rPr>
          <w:rFonts w:asciiTheme="minorHAnsi" w:hAnsiTheme="minorHAnsi" w:cstheme="minorHAnsi"/>
        </w:rPr>
        <w:t xml:space="preserve">A Model for types and Levels of Human Interaction with Automation, </w:t>
      </w:r>
      <w:r w:rsidRPr="00D37BCF">
        <w:rPr>
          <w:rFonts w:asciiTheme="minorHAnsi" w:hAnsiTheme="minorHAnsi" w:cstheme="minorHAnsi"/>
          <w:i/>
        </w:rPr>
        <w:t xml:space="preserve">IEEE Transactions on Systems, Man and Cybernetics – Part A: </w:t>
      </w:r>
      <w:r w:rsidR="00493307" w:rsidRPr="00D37BCF">
        <w:rPr>
          <w:rFonts w:asciiTheme="minorHAnsi" w:hAnsiTheme="minorHAnsi" w:cstheme="minorHAnsi"/>
          <w:i/>
        </w:rPr>
        <w:t xml:space="preserve">Systems </w:t>
      </w:r>
      <w:r w:rsidRPr="00D37BCF">
        <w:rPr>
          <w:rFonts w:asciiTheme="minorHAnsi" w:hAnsiTheme="minorHAnsi" w:cstheme="minorHAnsi"/>
          <w:i/>
        </w:rPr>
        <w:t>and Humans</w:t>
      </w:r>
      <w:r w:rsidRPr="00D37BCF">
        <w:rPr>
          <w:rFonts w:asciiTheme="minorHAnsi" w:hAnsiTheme="minorHAnsi" w:cstheme="minorHAnsi"/>
        </w:rPr>
        <w:t xml:space="preserve"> </w:t>
      </w:r>
      <w:r w:rsidR="00493307" w:rsidRPr="00D37BCF">
        <w:rPr>
          <w:rFonts w:asciiTheme="minorHAnsi" w:hAnsiTheme="minorHAnsi" w:cstheme="minorHAnsi"/>
        </w:rPr>
        <w:t>-</w:t>
      </w:r>
      <w:r w:rsidRPr="00D37BCF">
        <w:rPr>
          <w:rFonts w:asciiTheme="minorHAnsi" w:hAnsiTheme="minorHAnsi" w:cstheme="minorHAnsi"/>
        </w:rPr>
        <w:t xml:space="preserve"> 30, </w:t>
      </w:r>
      <w:r w:rsidR="00493307" w:rsidRPr="00D37BCF">
        <w:rPr>
          <w:rFonts w:asciiTheme="minorHAnsi" w:hAnsiTheme="minorHAnsi" w:cstheme="minorHAnsi"/>
        </w:rPr>
        <w:t>-</w:t>
      </w:r>
      <w:r w:rsidRPr="00D37BCF">
        <w:rPr>
          <w:rFonts w:asciiTheme="minorHAnsi" w:hAnsiTheme="minorHAnsi" w:cstheme="minorHAnsi"/>
        </w:rPr>
        <w:t>3</w:t>
      </w:r>
      <w:r w:rsidR="00493307" w:rsidRPr="00D37BCF">
        <w:rPr>
          <w:rFonts w:asciiTheme="minorHAnsi" w:hAnsiTheme="minorHAnsi" w:cstheme="minorHAnsi"/>
        </w:rPr>
        <w:t>,</w:t>
      </w:r>
      <w:r w:rsidRPr="00D37BCF">
        <w:rPr>
          <w:rFonts w:asciiTheme="minorHAnsi" w:hAnsiTheme="minorHAnsi" w:cstheme="minorHAnsi"/>
        </w:rPr>
        <w:t xml:space="preserve"> May 2000.</w:t>
      </w:r>
    </w:p>
    <w:p w:rsidR="00A45CF1" w:rsidRPr="00D37BCF" w:rsidRDefault="00A45CF1"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Nolan, R.L. Computer Databases: the Future is Now, </w:t>
      </w:r>
      <w:r w:rsidRPr="00D37BCF">
        <w:rPr>
          <w:rFonts w:asciiTheme="minorHAnsi" w:hAnsiTheme="minorHAnsi" w:cstheme="minorHAnsi"/>
          <w:i/>
        </w:rPr>
        <w:t>Harvard Business Review</w:t>
      </w:r>
      <w:r w:rsidRPr="00D37BCF">
        <w:rPr>
          <w:rFonts w:asciiTheme="minorHAnsi" w:hAnsiTheme="minorHAnsi" w:cstheme="minorHAnsi"/>
        </w:rPr>
        <w:t>, September – October, 1973.</w:t>
      </w:r>
    </w:p>
    <w:p w:rsidR="003F1C55" w:rsidRPr="00D37BCF" w:rsidRDefault="003F1C55"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Taylor, F.W. Principles of Scientific Management, 1911, Published by the Norton Library, 1967.</w:t>
      </w:r>
    </w:p>
    <w:p w:rsidR="00025230" w:rsidRPr="00D37BCF" w:rsidRDefault="00025230"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Teeter, R., and Brennan</w:t>
      </w:r>
      <w:r w:rsidR="003778BA" w:rsidRPr="00D37BCF">
        <w:rPr>
          <w:rFonts w:asciiTheme="minorHAnsi" w:hAnsiTheme="minorHAnsi" w:cstheme="minorHAnsi"/>
        </w:rPr>
        <w:t>, G</w:t>
      </w:r>
      <w:r w:rsidRPr="00D37BCF">
        <w:rPr>
          <w:rFonts w:asciiTheme="minorHAnsi" w:hAnsiTheme="minorHAnsi" w:cstheme="minorHAnsi"/>
        </w:rPr>
        <w:t xml:space="preserve">. 2008. </w:t>
      </w:r>
      <w:r w:rsidRPr="00D37BCF">
        <w:rPr>
          <w:rFonts w:asciiTheme="minorHAnsi" w:hAnsiTheme="minorHAnsi" w:cstheme="minorHAnsi"/>
          <w:i/>
        </w:rPr>
        <w:t>Aiding the Audit: Using the IT Audit as a Springboard for Continuous Controls Monitoring</w:t>
      </w:r>
      <w:r w:rsidRPr="00D37BCF">
        <w:rPr>
          <w:rFonts w:asciiTheme="minorHAnsi" w:hAnsiTheme="minorHAnsi" w:cstheme="minorHAnsi"/>
        </w:rPr>
        <w:t>, Unpublished working paper, Rutgers Business School.</w:t>
      </w:r>
    </w:p>
    <w:p w:rsidR="00BF5F6D" w:rsidRPr="00D37BCF" w:rsidRDefault="00BF5F6D"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Teqarden, D., Schaupp, L., Dull, R. 2013. Identifying Ontological Modifications to the Resource-Event-Agent (REA) Enterprise Ontology Using a Bunge-Wand-Weber Ontological Evaluation</w:t>
      </w:r>
      <w:r w:rsidRPr="00D37BCF">
        <w:rPr>
          <w:rFonts w:asciiTheme="minorHAnsi" w:hAnsiTheme="minorHAnsi" w:cstheme="minorHAnsi"/>
          <w:i/>
          <w:lang w:eastAsia="zh-CN"/>
        </w:rPr>
        <w:t>. Journal of Information Systems</w:t>
      </w:r>
      <w:r w:rsidRPr="00D37BCF">
        <w:rPr>
          <w:rFonts w:asciiTheme="minorHAnsi" w:hAnsiTheme="minorHAnsi" w:cstheme="minorHAnsi"/>
          <w:lang w:eastAsia="zh-CN"/>
        </w:rPr>
        <w:t xml:space="preserve"> 27 (1).</w:t>
      </w:r>
    </w:p>
    <w:p w:rsidR="00CB3A2B" w:rsidRPr="00D37BCF" w:rsidRDefault="00CB3A2B" w:rsidP="00D37BCF">
      <w:pPr>
        <w:spacing w:line="240" w:lineRule="auto"/>
        <w:ind w:left="720" w:hanging="720"/>
        <w:jc w:val="both"/>
        <w:rPr>
          <w:rFonts w:asciiTheme="minorHAnsi" w:hAnsiTheme="minorHAnsi" w:cstheme="minorHAnsi"/>
        </w:rPr>
      </w:pPr>
      <w:r w:rsidRPr="00D37BCF">
        <w:rPr>
          <w:rFonts w:asciiTheme="minorHAnsi" w:hAnsiTheme="minorHAnsi" w:cstheme="minorHAnsi"/>
          <w:lang w:eastAsia="zh-CN"/>
        </w:rPr>
        <w:t xml:space="preserve">Titera, W. 2013. Updating Audit Standards - Enabling Audit Data Analysis. </w:t>
      </w:r>
      <w:r w:rsidRPr="00D37BCF">
        <w:rPr>
          <w:rFonts w:asciiTheme="minorHAnsi" w:hAnsiTheme="minorHAnsi" w:cstheme="minorHAnsi"/>
          <w:i/>
          <w:lang w:eastAsia="zh-CN"/>
        </w:rPr>
        <w:t>Journal of Information Systems,</w:t>
      </w:r>
      <w:r w:rsidRPr="00D37BCF">
        <w:rPr>
          <w:rFonts w:asciiTheme="minorHAnsi" w:hAnsiTheme="minorHAnsi" w:cstheme="minorHAnsi"/>
          <w:lang w:eastAsia="zh-CN"/>
        </w:rPr>
        <w:t xml:space="preserve"> 27 (1).</w:t>
      </w:r>
    </w:p>
    <w:p w:rsidR="00712C9E" w:rsidRPr="00D37BCF" w:rsidRDefault="00712C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 1985. Audit Automation: Online Technology and Auditing. </w:t>
      </w:r>
      <w:r w:rsidRPr="00D37BCF">
        <w:rPr>
          <w:rFonts w:asciiTheme="minorHAnsi" w:hAnsiTheme="minorHAnsi" w:cstheme="minorHAnsi"/>
          <w:i/>
        </w:rPr>
        <w:t>The CPA Journal</w:t>
      </w:r>
      <w:r w:rsidRPr="00D37BCF">
        <w:rPr>
          <w:rFonts w:asciiTheme="minorHAnsi" w:hAnsiTheme="minorHAnsi" w:cstheme="minorHAnsi"/>
        </w:rPr>
        <w:t>. April 1985: 10-17.</w:t>
      </w:r>
    </w:p>
    <w:p w:rsidR="00712C9E" w:rsidRPr="00D37BCF" w:rsidRDefault="00712C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lastRenderedPageBreak/>
        <w:t>Vasarhelyi, M.</w:t>
      </w:r>
      <w:hyperlink r:id="rId15" w:history="1">
        <w:r w:rsidRPr="00D37BCF">
          <w:rPr>
            <w:rFonts w:asciiTheme="minorHAnsi" w:hAnsiTheme="minorHAnsi" w:cstheme="minorHAnsi"/>
          </w:rPr>
          <w:t>  1984. Automation and Changes in the Audit Process, </w:t>
        </w:r>
      </w:hyperlink>
      <w:r w:rsidRPr="00D37BCF">
        <w:rPr>
          <w:rFonts w:asciiTheme="minorHAnsi" w:hAnsiTheme="minorHAnsi" w:cstheme="minorHAnsi"/>
          <w:i/>
        </w:rPr>
        <w:t>Auditing: A Journal of Practice and Theory,</w:t>
      </w:r>
      <w:r w:rsidRPr="00D37BCF">
        <w:rPr>
          <w:rFonts w:asciiTheme="minorHAnsi" w:hAnsiTheme="minorHAnsi" w:cstheme="minorHAnsi"/>
        </w:rPr>
        <w:t> 4,1, 100-106.-</w:t>
      </w:r>
    </w:p>
    <w:p w:rsidR="00906E4E" w:rsidRPr="00D37BCF" w:rsidRDefault="00906E4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 xml:space="preserve">Vasarhelyi, M. 1983. </w:t>
      </w:r>
      <w:hyperlink r:id="rId16" w:history="1">
        <w:r w:rsidRPr="00D37BCF">
          <w:rPr>
            <w:rFonts w:asciiTheme="minorHAnsi" w:hAnsiTheme="minorHAnsi" w:cstheme="minorHAnsi"/>
          </w:rPr>
          <w:t>A Framework for Audit Automation: Online Technology and the Audit Process."</w:t>
        </w:r>
      </w:hyperlink>
      <w:r w:rsidRPr="00D37BCF">
        <w:rPr>
          <w:rFonts w:asciiTheme="minorHAnsi" w:hAnsiTheme="minorHAnsi" w:cstheme="minorHAnsi"/>
        </w:rPr>
        <w:t> </w:t>
      </w:r>
      <w:r w:rsidRPr="00D37BCF">
        <w:rPr>
          <w:rFonts w:asciiTheme="minorHAnsi" w:hAnsiTheme="minorHAnsi" w:cstheme="minorHAnsi"/>
          <w:i/>
        </w:rPr>
        <w:t>The Accounting Forum</w:t>
      </w:r>
      <w:r w:rsidRPr="00D37BCF">
        <w:rPr>
          <w:rFonts w:asciiTheme="minorHAnsi" w:hAnsiTheme="minorHAnsi" w:cstheme="minorHAnsi"/>
          <w:u w:val="single"/>
        </w:rPr>
        <w:t>,</w:t>
      </w:r>
      <w:r w:rsidRPr="00D37BCF">
        <w:rPr>
          <w:rFonts w:asciiTheme="minorHAnsi" w:hAnsiTheme="minorHAnsi" w:cstheme="minorHAnsi"/>
        </w:rPr>
        <w:t> March 1983, 30-44.</w:t>
      </w:r>
    </w:p>
    <w:p w:rsidR="00712C9E" w:rsidRPr="00D37BCF" w:rsidRDefault="00712C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 A. 1973.  Man-Machine Planning Systems:  A Behavioral Examination of Interactive Decision Making, Ph.D. Dissertation, University of California.</w:t>
      </w:r>
    </w:p>
    <w:p w:rsidR="00712C9E" w:rsidRPr="00D37BCF" w:rsidRDefault="00712C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 A., and Greenstein. M. </w:t>
      </w:r>
      <w:r w:rsidRPr="00D37BCF">
        <w:t>2003.</w:t>
      </w:r>
      <w:r w:rsidRPr="00D37BCF">
        <w:rPr>
          <w:rFonts w:asciiTheme="minorHAnsi" w:hAnsiTheme="minorHAnsi" w:cstheme="minorHAnsi"/>
        </w:rPr>
        <w:t>Underlying Principles of the Electronization of Business: A Research Agenda.</w:t>
      </w:r>
      <w:r w:rsidRPr="00D37BCF">
        <w:t>-</w:t>
      </w:r>
      <w:r w:rsidRPr="00D37BCF">
        <w:rPr>
          <w:rFonts w:asciiTheme="minorHAnsi" w:hAnsiTheme="minorHAnsi" w:cstheme="minorHAnsi"/>
        </w:rPr>
        <w:t> </w:t>
      </w:r>
      <w:r w:rsidRPr="00D37BCF">
        <w:rPr>
          <w:rFonts w:asciiTheme="minorHAnsi" w:hAnsiTheme="minorHAnsi" w:cstheme="minorHAnsi"/>
          <w:i/>
        </w:rPr>
        <w:t>International Journal of Accounting Information Systems</w:t>
      </w:r>
      <w:r w:rsidRPr="00D37BCF">
        <w:rPr>
          <w:rFonts w:asciiTheme="minorHAnsi" w:hAnsiTheme="minorHAnsi" w:cstheme="minorHAnsi"/>
          <w:u w:val="single"/>
        </w:rPr>
        <w:t>,</w:t>
      </w:r>
      <w:r w:rsidRPr="00D37BCF">
        <w:rPr>
          <w:rFonts w:asciiTheme="minorHAnsi" w:hAnsiTheme="minorHAnsi" w:cstheme="minorHAnsi"/>
        </w:rPr>
        <w:t> 4, 1, 1-25. </w:t>
      </w:r>
    </w:p>
    <w:p w:rsidR="00712C9E" w:rsidRPr="00D37BCF" w:rsidRDefault="00712C9E" w:rsidP="00D37BCF">
      <w:pPr>
        <w:pStyle w:val="NoSpacing"/>
      </w:pPr>
      <w:r w:rsidRPr="00D37BCF">
        <w:t>Vasarhelyi, M. A., and Alles, M. G. 2008.  The “Now” Economy and the Traditional Accounting Reporting</w:t>
      </w:r>
    </w:p>
    <w:p w:rsidR="00712C9E" w:rsidRPr="00D37BCF" w:rsidRDefault="00712C9E" w:rsidP="00D37BCF">
      <w:pPr>
        <w:pStyle w:val="NoSpacing"/>
        <w:rPr>
          <w:i/>
        </w:rPr>
      </w:pPr>
      <w:r w:rsidRPr="00D37BCF">
        <w:tab/>
        <w:t xml:space="preserve">Model:  Opportunities and Challenges for AIS Research, </w:t>
      </w:r>
      <w:r w:rsidRPr="00D37BCF">
        <w:rPr>
          <w:i/>
        </w:rPr>
        <w:t xml:space="preserve">International Journal of Accounting </w:t>
      </w:r>
    </w:p>
    <w:p w:rsidR="00712C9E" w:rsidRPr="00D37BCF" w:rsidRDefault="00712C9E" w:rsidP="00D37BCF">
      <w:pPr>
        <w:pStyle w:val="NoSpacing"/>
      </w:pPr>
      <w:r w:rsidRPr="00D37BCF">
        <w:rPr>
          <w:i/>
        </w:rPr>
        <w:tab/>
        <w:t>Information Systems</w:t>
      </w:r>
      <w:r w:rsidRPr="00D37BCF">
        <w:t>, 9, 4, 227-239.</w:t>
      </w:r>
    </w:p>
    <w:p w:rsidR="00712C9E" w:rsidRPr="00D37BCF" w:rsidRDefault="00712C9E"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 A.,  Alles, M.G. and Williams, K. T. 2010. Continuous Assurance for the Now Economy, A Monograph for the Institute of Chartered Accountants of Australia, 2010.</w:t>
      </w:r>
    </w:p>
    <w:p w:rsidR="00C92099" w:rsidRPr="00D37BCF" w:rsidRDefault="00C92099"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w:t>
      </w:r>
      <w:r w:rsidR="00F33693" w:rsidRPr="00D37BCF">
        <w:rPr>
          <w:rFonts w:asciiTheme="minorHAnsi" w:hAnsiTheme="minorHAnsi" w:cstheme="minorHAnsi"/>
        </w:rPr>
        <w:t>. A.</w:t>
      </w:r>
      <w:r w:rsidRPr="00D37BCF">
        <w:rPr>
          <w:rFonts w:asciiTheme="minorHAnsi" w:hAnsiTheme="minorHAnsi" w:cstheme="minorHAnsi"/>
        </w:rPr>
        <w:t>, and Krahel</w:t>
      </w:r>
      <w:r w:rsidR="00F33693" w:rsidRPr="00D37BCF">
        <w:rPr>
          <w:rFonts w:asciiTheme="minorHAnsi" w:hAnsiTheme="minorHAnsi" w:cstheme="minorHAnsi"/>
        </w:rPr>
        <w:t>, J. P. 2011</w:t>
      </w:r>
      <w:r w:rsidRPr="00D37BCF">
        <w:rPr>
          <w:rFonts w:asciiTheme="minorHAnsi" w:hAnsiTheme="minorHAnsi" w:cstheme="minorHAnsi"/>
        </w:rPr>
        <w:t>. "Digital Standard Setting: The Inevitable Paradigm."</w:t>
      </w:r>
      <w:r w:rsidRPr="00D37BCF">
        <w:rPr>
          <w:rFonts w:asciiTheme="minorHAnsi" w:hAnsiTheme="minorHAnsi" w:cstheme="minorHAnsi"/>
          <w:b/>
          <w:bCs/>
        </w:rPr>
        <w:t> </w:t>
      </w:r>
      <w:r w:rsidRPr="00D37BCF">
        <w:rPr>
          <w:rFonts w:asciiTheme="minorHAnsi" w:hAnsiTheme="minorHAnsi" w:cstheme="minorHAnsi"/>
          <w:u w:val="single"/>
        </w:rPr>
        <w:t> </w:t>
      </w:r>
      <w:r w:rsidRPr="00D37BCF">
        <w:rPr>
          <w:rFonts w:asciiTheme="minorHAnsi" w:hAnsiTheme="minorHAnsi" w:cstheme="minorHAnsi"/>
          <w:i/>
          <w:u w:val="single"/>
        </w:rPr>
        <w:t>International Journal of Economics and Accounting</w:t>
      </w:r>
      <w:r w:rsidRPr="00D37BCF">
        <w:rPr>
          <w:rFonts w:asciiTheme="minorHAnsi" w:hAnsiTheme="minorHAnsi" w:cstheme="minorHAnsi"/>
          <w:u w:val="single"/>
        </w:rPr>
        <w:t>.</w:t>
      </w:r>
      <w:r w:rsidRPr="00D37BCF">
        <w:rPr>
          <w:rFonts w:asciiTheme="minorHAnsi" w:hAnsiTheme="minorHAnsi" w:cstheme="minorHAnsi"/>
        </w:rPr>
        <w:t>Vol. 2, No. 3,  242-254</w:t>
      </w:r>
      <w:r w:rsidR="00AA3C46" w:rsidRPr="00D37BCF">
        <w:rPr>
          <w:rFonts w:asciiTheme="minorHAnsi" w:hAnsiTheme="minorHAnsi" w:cstheme="minorHAnsi"/>
        </w:rPr>
        <w:t>.</w:t>
      </w:r>
      <w:r w:rsidRPr="00D37BCF">
        <w:rPr>
          <w:rFonts w:asciiTheme="minorHAnsi" w:hAnsiTheme="minorHAnsi" w:cstheme="minorHAnsi"/>
        </w:rPr>
        <w:t> </w:t>
      </w:r>
    </w:p>
    <w:p w:rsidR="00025230" w:rsidRPr="00D37BCF" w:rsidRDefault="00025230" w:rsidP="00D37BCF">
      <w:pPr>
        <w:spacing w:line="240" w:lineRule="auto"/>
        <w:ind w:left="720" w:hanging="720"/>
        <w:jc w:val="both"/>
        <w:rPr>
          <w:rFonts w:asciiTheme="minorHAnsi" w:hAnsiTheme="minorHAnsi" w:cstheme="minorHAnsi"/>
          <w:lang w:eastAsia="zh-CN"/>
        </w:rPr>
      </w:pPr>
      <w:r w:rsidRPr="00D37BCF">
        <w:rPr>
          <w:rFonts w:asciiTheme="minorHAnsi" w:hAnsiTheme="minorHAnsi" w:cstheme="minorHAnsi"/>
          <w:lang w:eastAsia="zh-CN"/>
        </w:rPr>
        <w:t>Vasarhelyi, M. A., Warren</w:t>
      </w:r>
      <w:r w:rsidR="00712C9E" w:rsidRPr="00D37BCF">
        <w:rPr>
          <w:rFonts w:asciiTheme="minorHAnsi" w:hAnsiTheme="minorHAnsi" w:cstheme="minorHAnsi"/>
          <w:lang w:eastAsia="zh-CN"/>
        </w:rPr>
        <w:t xml:space="preserve"> J. D.</w:t>
      </w:r>
      <w:r w:rsidRPr="00D37BCF">
        <w:rPr>
          <w:rFonts w:asciiTheme="minorHAnsi" w:hAnsiTheme="minorHAnsi" w:cstheme="minorHAnsi"/>
          <w:lang w:eastAsia="zh-CN"/>
        </w:rPr>
        <w:t>, Jr., Teeter</w:t>
      </w:r>
      <w:r w:rsidR="00712C9E" w:rsidRPr="00D37BCF">
        <w:rPr>
          <w:rFonts w:asciiTheme="minorHAnsi" w:hAnsiTheme="minorHAnsi" w:cstheme="minorHAnsi"/>
          <w:lang w:eastAsia="zh-CN"/>
        </w:rPr>
        <w:t xml:space="preserve"> R.</w:t>
      </w:r>
      <w:r w:rsidRPr="00D37BCF">
        <w:rPr>
          <w:rFonts w:asciiTheme="minorHAnsi" w:hAnsiTheme="minorHAnsi" w:cstheme="minorHAnsi"/>
          <w:lang w:eastAsia="zh-CN"/>
        </w:rPr>
        <w:t>, and Titera</w:t>
      </w:r>
      <w:r w:rsidR="00712C9E" w:rsidRPr="00D37BCF">
        <w:rPr>
          <w:rFonts w:asciiTheme="minorHAnsi" w:hAnsiTheme="minorHAnsi" w:cstheme="minorHAnsi"/>
          <w:lang w:eastAsia="zh-CN"/>
        </w:rPr>
        <w:t xml:space="preserve"> B.</w:t>
      </w:r>
      <w:r w:rsidRPr="00D37BCF">
        <w:rPr>
          <w:rFonts w:asciiTheme="minorHAnsi" w:hAnsiTheme="minorHAnsi" w:cstheme="minorHAnsi"/>
          <w:lang w:eastAsia="zh-CN"/>
        </w:rPr>
        <w:t>. (2011). Embracing the Automated Audit.  Working paper, Rutgers Business School.</w:t>
      </w:r>
    </w:p>
    <w:p w:rsidR="00A45CF1" w:rsidRPr="00D37BCF" w:rsidRDefault="00A45CF1" w:rsidP="00D37BCF">
      <w:pPr>
        <w:spacing w:line="240" w:lineRule="auto"/>
        <w:ind w:left="720" w:hanging="720"/>
        <w:jc w:val="both"/>
        <w:rPr>
          <w:rFonts w:asciiTheme="minorHAnsi" w:hAnsiTheme="minorHAnsi" w:cstheme="minorHAnsi"/>
        </w:rPr>
      </w:pPr>
      <w:r w:rsidRPr="00D37BCF">
        <w:rPr>
          <w:rFonts w:asciiTheme="minorHAnsi" w:hAnsiTheme="minorHAnsi" w:cstheme="minorHAnsi"/>
        </w:rPr>
        <w:t>Vasarhelyi, M</w:t>
      </w:r>
      <w:r w:rsidR="00BA69E1" w:rsidRPr="00D37BCF">
        <w:rPr>
          <w:rFonts w:asciiTheme="minorHAnsi" w:hAnsiTheme="minorHAnsi" w:cstheme="minorHAnsi"/>
        </w:rPr>
        <w:t>.</w:t>
      </w:r>
      <w:r w:rsidRPr="00D37BCF">
        <w:rPr>
          <w:rFonts w:asciiTheme="minorHAnsi" w:hAnsiTheme="minorHAnsi" w:cstheme="minorHAnsi"/>
        </w:rPr>
        <w:t xml:space="preserve">, Romero, </w:t>
      </w:r>
      <w:r w:rsidR="00BA69E1" w:rsidRPr="00D37BCF">
        <w:rPr>
          <w:rFonts w:asciiTheme="minorHAnsi" w:hAnsiTheme="minorHAnsi" w:cstheme="minorHAnsi"/>
        </w:rPr>
        <w:t xml:space="preserve">S., </w:t>
      </w:r>
      <w:r w:rsidRPr="00D37BCF">
        <w:rPr>
          <w:rFonts w:asciiTheme="minorHAnsi" w:hAnsiTheme="minorHAnsi" w:cstheme="minorHAnsi"/>
        </w:rPr>
        <w:t>Mock,</w:t>
      </w:r>
      <w:r w:rsidR="00BA69E1" w:rsidRPr="00D37BCF">
        <w:rPr>
          <w:rFonts w:asciiTheme="minorHAnsi" w:hAnsiTheme="minorHAnsi" w:cstheme="minorHAnsi"/>
        </w:rPr>
        <w:t xml:space="preserve"> T.,</w:t>
      </w:r>
      <w:r w:rsidRPr="00D37BCF">
        <w:rPr>
          <w:rFonts w:asciiTheme="minorHAnsi" w:hAnsiTheme="minorHAnsi" w:cstheme="minorHAnsi"/>
        </w:rPr>
        <w:t xml:space="preserve"> and Gal</w:t>
      </w:r>
      <w:r w:rsidR="00BA69E1" w:rsidRPr="00D37BCF">
        <w:rPr>
          <w:rFonts w:asciiTheme="minorHAnsi" w:hAnsiTheme="minorHAnsi" w:cstheme="minorHAnsi"/>
        </w:rPr>
        <w:t>, G</w:t>
      </w:r>
      <w:r w:rsidRPr="00D37BCF">
        <w:rPr>
          <w:rFonts w:asciiTheme="minorHAnsi" w:hAnsiTheme="minorHAnsi" w:cstheme="minorHAnsi"/>
        </w:rPr>
        <w:t xml:space="preserve">. </w:t>
      </w:r>
      <w:r w:rsidR="00D37BCF" w:rsidRPr="00D37BCF">
        <w:rPr>
          <w:rFonts w:asciiTheme="minorHAnsi" w:hAnsiTheme="minorHAnsi" w:cstheme="minorHAnsi"/>
        </w:rPr>
        <w:t>2012</w:t>
      </w:r>
      <w:r w:rsidR="00BA69E1" w:rsidRPr="00D37BCF">
        <w:rPr>
          <w:rFonts w:asciiTheme="minorHAnsi" w:hAnsiTheme="minorHAnsi" w:cstheme="minorHAnsi"/>
        </w:rPr>
        <w:t xml:space="preserve">. </w:t>
      </w:r>
      <w:r w:rsidRPr="00D37BCF">
        <w:rPr>
          <w:rFonts w:asciiTheme="minorHAnsi" w:hAnsiTheme="minorHAnsi" w:cstheme="minorHAnsi"/>
        </w:rPr>
        <w:t xml:space="preserve"> A Measurement Theory Perspective on Financial Reporting</w:t>
      </w:r>
      <w:r w:rsidR="00BA69E1" w:rsidRPr="00D37BCF">
        <w:rPr>
          <w:rFonts w:asciiTheme="minorHAnsi" w:hAnsiTheme="minorHAnsi" w:cstheme="minorHAnsi"/>
        </w:rPr>
        <w:t>,</w:t>
      </w:r>
      <w:r w:rsidRPr="00D37BCF">
        <w:rPr>
          <w:rFonts w:asciiTheme="minorHAnsi" w:hAnsiTheme="minorHAnsi" w:cstheme="minorHAnsi"/>
        </w:rPr>
        <w:t> </w:t>
      </w:r>
      <w:r w:rsidRPr="00D37BCF">
        <w:rPr>
          <w:rFonts w:asciiTheme="minorHAnsi" w:hAnsiTheme="minorHAnsi" w:cstheme="minorHAnsi"/>
          <w:i/>
        </w:rPr>
        <w:t>Journal of Emerging Technologies in Accounting</w:t>
      </w:r>
      <w:r w:rsidRPr="00D37BCF">
        <w:rPr>
          <w:rFonts w:asciiTheme="minorHAnsi" w:hAnsiTheme="minorHAnsi" w:cstheme="minorHAnsi"/>
        </w:rPr>
        <w:t>, Forthcoming 2012a</w:t>
      </w:r>
      <w:r w:rsidR="00BA69E1" w:rsidRPr="00D37BCF">
        <w:rPr>
          <w:rFonts w:asciiTheme="minorHAnsi" w:hAnsiTheme="minorHAnsi" w:cstheme="minorHAnsi"/>
        </w:rPr>
        <w:t>.</w:t>
      </w:r>
    </w:p>
    <w:p w:rsidR="00025230" w:rsidRPr="00D37BCF" w:rsidRDefault="00C34630" w:rsidP="00D37BCF">
      <w:pPr>
        <w:widowControl w:val="0"/>
        <w:overflowPunct w:val="0"/>
        <w:adjustRightInd w:val="0"/>
        <w:spacing w:after="120" w:line="240" w:lineRule="auto"/>
        <w:ind w:left="720" w:hanging="720"/>
        <w:jc w:val="both"/>
        <w:rPr>
          <w:rFonts w:asciiTheme="minorHAnsi" w:hAnsiTheme="minorHAnsi" w:cstheme="minorHAnsi"/>
          <w:lang w:eastAsia="zh-CN"/>
        </w:rPr>
      </w:pPr>
      <w:r w:rsidRPr="00D37BCF">
        <w:rPr>
          <w:rFonts w:asciiTheme="minorHAnsi" w:hAnsiTheme="minorHAnsi" w:cstheme="minorHAnsi"/>
        </w:rPr>
        <w:t xml:space="preserve">Zhang, L., </w:t>
      </w:r>
      <w:r w:rsidR="00BA69E1" w:rsidRPr="00D37BCF">
        <w:rPr>
          <w:rFonts w:asciiTheme="minorHAnsi" w:hAnsiTheme="minorHAnsi" w:cstheme="minorHAnsi"/>
        </w:rPr>
        <w:t>–</w:t>
      </w:r>
      <w:r w:rsidRPr="00D37BCF">
        <w:rPr>
          <w:rFonts w:asciiTheme="minorHAnsi" w:hAnsiTheme="minorHAnsi" w:cstheme="minorHAnsi"/>
        </w:rPr>
        <w:t>Pawlicki</w:t>
      </w:r>
      <w:r w:rsidR="00BA69E1" w:rsidRPr="00D37BCF">
        <w:rPr>
          <w:rFonts w:asciiTheme="minorHAnsi" w:hAnsiTheme="minorHAnsi" w:cstheme="minorHAnsi"/>
        </w:rPr>
        <w:t xml:space="preserve"> A. R.</w:t>
      </w:r>
      <w:r w:rsidRPr="00D37BCF">
        <w:rPr>
          <w:rFonts w:asciiTheme="minorHAnsi" w:hAnsiTheme="minorHAnsi" w:cstheme="minorHAnsi"/>
        </w:rPr>
        <w:t xml:space="preserve">, McQuilken, </w:t>
      </w:r>
      <w:r w:rsidR="00BA69E1" w:rsidRPr="00D37BCF">
        <w:rPr>
          <w:rFonts w:asciiTheme="minorHAnsi" w:hAnsiTheme="minorHAnsi" w:cstheme="minorHAnsi"/>
        </w:rPr>
        <w:t xml:space="preserve">D., </w:t>
      </w:r>
      <w:r w:rsidRPr="00D37BCF">
        <w:rPr>
          <w:rFonts w:asciiTheme="minorHAnsi" w:hAnsiTheme="minorHAnsi" w:cstheme="minorHAnsi"/>
        </w:rPr>
        <w:t xml:space="preserve">and </w:t>
      </w:r>
      <w:r w:rsidR="00BA69E1" w:rsidRPr="00D37BCF">
        <w:rPr>
          <w:rFonts w:asciiTheme="minorHAnsi" w:hAnsiTheme="minorHAnsi" w:cstheme="minorHAnsi"/>
        </w:rPr>
        <w:t>–</w:t>
      </w:r>
      <w:r w:rsidRPr="00D37BCF">
        <w:rPr>
          <w:rFonts w:asciiTheme="minorHAnsi" w:hAnsiTheme="minorHAnsi" w:cstheme="minorHAnsi"/>
        </w:rPr>
        <w:t>Titera</w:t>
      </w:r>
      <w:r w:rsidR="00BA69E1" w:rsidRPr="00D37BCF">
        <w:rPr>
          <w:rFonts w:asciiTheme="minorHAnsi" w:hAnsiTheme="minorHAnsi" w:cstheme="minorHAnsi"/>
        </w:rPr>
        <w:t>, W. R.,</w:t>
      </w:r>
      <w:r w:rsidRPr="00D37BCF">
        <w:rPr>
          <w:rFonts w:asciiTheme="minorHAnsi" w:hAnsiTheme="minorHAnsi" w:cstheme="minorHAnsi"/>
        </w:rPr>
        <w:t xml:space="preserve"> 2012. The AICPA Assurance Services Executive Committee Emerging Assurance Technologies Task Force: The Audit Data Standards (ADS) Initiative. </w:t>
      </w:r>
      <w:r w:rsidRPr="00D37BCF">
        <w:rPr>
          <w:rFonts w:asciiTheme="minorHAnsi" w:hAnsiTheme="minorHAnsi" w:cstheme="minorHAnsi"/>
          <w:i/>
        </w:rPr>
        <w:t>Journal of Information Systems</w:t>
      </w:r>
      <w:r w:rsidRPr="00D37BCF">
        <w:rPr>
          <w:rFonts w:asciiTheme="minorHAnsi" w:hAnsiTheme="minorHAnsi" w:cstheme="minorHAnsi"/>
        </w:rPr>
        <w:t xml:space="preserve">. </w:t>
      </w:r>
      <w:r w:rsidR="00BA69E1" w:rsidRPr="00D37BCF">
        <w:rPr>
          <w:rFonts w:asciiTheme="minorHAnsi" w:hAnsiTheme="minorHAnsi" w:cstheme="minorHAnsi"/>
        </w:rPr>
        <w:t>-</w:t>
      </w:r>
      <w:r w:rsidRPr="00D37BCF">
        <w:rPr>
          <w:rFonts w:asciiTheme="minorHAnsi" w:hAnsiTheme="minorHAnsi" w:cstheme="minorHAnsi"/>
        </w:rPr>
        <w:t xml:space="preserve">26, 1, </w:t>
      </w:r>
      <w:r w:rsidR="00BA69E1" w:rsidRPr="00D37BCF">
        <w:rPr>
          <w:rFonts w:asciiTheme="minorHAnsi" w:hAnsiTheme="minorHAnsi" w:cstheme="minorHAnsi"/>
        </w:rPr>
        <w:t>-</w:t>
      </w:r>
      <w:r w:rsidRPr="00D37BCF">
        <w:rPr>
          <w:rFonts w:asciiTheme="minorHAnsi" w:hAnsiTheme="minorHAnsi" w:cstheme="minorHAnsi"/>
        </w:rPr>
        <w:t>199-205.</w:t>
      </w:r>
    </w:p>
    <w:sectPr w:rsidR="00025230" w:rsidRPr="00D37BCF" w:rsidSect="005B720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CD" w:rsidRDefault="00BD2BCD" w:rsidP="003F040C">
      <w:pPr>
        <w:spacing w:after="0" w:line="240" w:lineRule="auto"/>
      </w:pPr>
      <w:r>
        <w:separator/>
      </w:r>
    </w:p>
  </w:endnote>
  <w:endnote w:type="continuationSeparator" w:id="0">
    <w:p w:rsidR="00BD2BCD" w:rsidRDefault="00BD2BCD" w:rsidP="003F0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01" w:rsidRDefault="00657B01">
    <w:pPr>
      <w:pStyle w:val="Footer"/>
      <w:jc w:val="right"/>
    </w:pPr>
    <w:r>
      <w:fldChar w:fldCharType="begin"/>
    </w:r>
    <w:r>
      <w:instrText xml:space="preserve"> PAGE   \* MERGEFORMAT </w:instrText>
    </w:r>
    <w:r>
      <w:fldChar w:fldCharType="separate"/>
    </w:r>
    <w:r w:rsidR="001D5F05">
      <w:rPr>
        <w:noProof/>
      </w:rPr>
      <w:t>12</w:t>
    </w:r>
    <w:r>
      <w:fldChar w:fldCharType="end"/>
    </w:r>
  </w:p>
  <w:p w:rsidR="00657B01" w:rsidRDefault="0065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CD" w:rsidRDefault="00BD2BCD" w:rsidP="003F040C">
      <w:pPr>
        <w:spacing w:after="0" w:line="240" w:lineRule="auto"/>
      </w:pPr>
      <w:r>
        <w:separator/>
      </w:r>
    </w:p>
  </w:footnote>
  <w:footnote w:type="continuationSeparator" w:id="0">
    <w:p w:rsidR="00BD2BCD" w:rsidRDefault="00BD2BCD" w:rsidP="003F040C">
      <w:pPr>
        <w:spacing w:after="0" w:line="240" w:lineRule="auto"/>
      </w:pPr>
      <w:r>
        <w:continuationSeparator/>
      </w:r>
    </w:p>
  </w:footnote>
  <w:footnote w:id="1">
    <w:p w:rsidR="00D37BCF" w:rsidRDefault="00D37BCF">
      <w:pPr>
        <w:pStyle w:val="FootnoteText"/>
      </w:pPr>
      <w:r>
        <w:rPr>
          <w:rStyle w:val="FootnoteReference"/>
        </w:rPr>
        <w:footnoteRef/>
      </w:r>
      <w:r>
        <w:t xml:space="preserve"> The advice and help of Prof. Michael Alles and Messrs. Paul Byrnes, Steven Kozlowski</w:t>
      </w:r>
      <w:r w:rsidR="00C87344">
        <w:t>, and Stanley He Li are much appreciated.</w:t>
      </w:r>
    </w:p>
  </w:footnote>
  <w:footnote w:id="2">
    <w:p w:rsidR="00657B01" w:rsidRDefault="00657B01" w:rsidP="00914130">
      <w:r>
        <w:rPr>
          <w:rStyle w:val="FootnoteReference"/>
        </w:rPr>
        <w:footnoteRef/>
      </w:r>
      <w:r>
        <w:t xml:space="preserve"> Ibid </w:t>
      </w:r>
      <w:hyperlink r:id="rId1" w:tgtFrame="_blank" w:history="1">
        <w:r>
          <w:rPr>
            <w:rStyle w:val="Hyperlink"/>
          </w:rPr>
          <w:t>http://www.cbsnews.com/video/watch/?id=50138761n</w:t>
        </w:r>
      </w:hyperlink>
    </w:p>
    <w:p w:rsidR="00657B01" w:rsidRDefault="00657B01" w:rsidP="00914130"/>
  </w:footnote>
  <w:footnote w:id="3">
    <w:p w:rsidR="00657B01" w:rsidRDefault="00657B01" w:rsidP="0077524F">
      <w:pPr>
        <w:pStyle w:val="FootnoteText"/>
      </w:pPr>
      <w:r>
        <w:rPr>
          <w:rStyle w:val="FootnoteReference"/>
        </w:rPr>
        <w:t>*</w:t>
      </w:r>
      <w:r>
        <w:t xml:space="preserve"> We thank seminar participants at the 2011 Rutgers Continuous Auditing Symposium and the European Accounting Association for helpful comments on an earlier version of this paper.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23D47A4"/>
    <w:multiLevelType w:val="hybridMultilevel"/>
    <w:tmpl w:val="3DE4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F2EB0"/>
    <w:multiLevelType w:val="hybridMultilevel"/>
    <w:tmpl w:val="91BC8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C25CBF"/>
    <w:multiLevelType w:val="hybridMultilevel"/>
    <w:tmpl w:val="C8E0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F5C33"/>
    <w:multiLevelType w:val="hybridMultilevel"/>
    <w:tmpl w:val="B238AF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AE67CD1"/>
    <w:multiLevelType w:val="hybridMultilevel"/>
    <w:tmpl w:val="708E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5B432B"/>
    <w:multiLevelType w:val="hybridMultilevel"/>
    <w:tmpl w:val="F39A0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50E92"/>
    <w:multiLevelType w:val="hybridMultilevel"/>
    <w:tmpl w:val="590ED5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ECA66AF"/>
    <w:multiLevelType w:val="hybridMultilevel"/>
    <w:tmpl w:val="5AA02F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4"/>
  </w:num>
  <w:num w:numId="4">
    <w:abstractNumId w:val="6"/>
  </w:num>
  <w:num w:numId="5">
    <w:abstractNumId w:val="5"/>
  </w:num>
  <w:num w:numId="6">
    <w:abstractNumId w:val="3"/>
  </w:num>
  <w:num w:numId="7">
    <w:abstractNumId w:val="2"/>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04"/>
    <w:rsid w:val="00003CA7"/>
    <w:rsid w:val="000206DF"/>
    <w:rsid w:val="00025230"/>
    <w:rsid w:val="00040754"/>
    <w:rsid w:val="00044F7E"/>
    <w:rsid w:val="00047858"/>
    <w:rsid w:val="000661C6"/>
    <w:rsid w:val="00067629"/>
    <w:rsid w:val="000709C7"/>
    <w:rsid w:val="00097E87"/>
    <w:rsid w:val="000A0FD7"/>
    <w:rsid w:val="000A4165"/>
    <w:rsid w:val="000B785D"/>
    <w:rsid w:val="000D1E3A"/>
    <w:rsid w:val="000F1888"/>
    <w:rsid w:val="00112575"/>
    <w:rsid w:val="001202E0"/>
    <w:rsid w:val="00131DDD"/>
    <w:rsid w:val="00140109"/>
    <w:rsid w:val="00144CCD"/>
    <w:rsid w:val="0015270A"/>
    <w:rsid w:val="00184078"/>
    <w:rsid w:val="00190403"/>
    <w:rsid w:val="00196B40"/>
    <w:rsid w:val="001A0F3D"/>
    <w:rsid w:val="001C0BCE"/>
    <w:rsid w:val="001D264C"/>
    <w:rsid w:val="001D3303"/>
    <w:rsid w:val="001D5079"/>
    <w:rsid w:val="001D5E19"/>
    <w:rsid w:val="001D5F05"/>
    <w:rsid w:val="001D6084"/>
    <w:rsid w:val="001E6064"/>
    <w:rsid w:val="002011CF"/>
    <w:rsid w:val="00201483"/>
    <w:rsid w:val="00225E66"/>
    <w:rsid w:val="00241B6B"/>
    <w:rsid w:val="00244096"/>
    <w:rsid w:val="002443A9"/>
    <w:rsid w:val="00246AA2"/>
    <w:rsid w:val="0026229F"/>
    <w:rsid w:val="00273C8C"/>
    <w:rsid w:val="00283CEF"/>
    <w:rsid w:val="00287918"/>
    <w:rsid w:val="002A7DA5"/>
    <w:rsid w:val="002B2ED2"/>
    <w:rsid w:val="002C1F9E"/>
    <w:rsid w:val="002C624E"/>
    <w:rsid w:val="002D3DB6"/>
    <w:rsid w:val="002D7193"/>
    <w:rsid w:val="003038FD"/>
    <w:rsid w:val="00305C85"/>
    <w:rsid w:val="00312F73"/>
    <w:rsid w:val="00315766"/>
    <w:rsid w:val="00347D44"/>
    <w:rsid w:val="00360160"/>
    <w:rsid w:val="003603E2"/>
    <w:rsid w:val="00374FF3"/>
    <w:rsid w:val="003764F0"/>
    <w:rsid w:val="003778BA"/>
    <w:rsid w:val="00377A07"/>
    <w:rsid w:val="003B05B9"/>
    <w:rsid w:val="003B332E"/>
    <w:rsid w:val="003B7A2B"/>
    <w:rsid w:val="003C2736"/>
    <w:rsid w:val="003C2787"/>
    <w:rsid w:val="003C6B14"/>
    <w:rsid w:val="003D21E2"/>
    <w:rsid w:val="003D4A86"/>
    <w:rsid w:val="003F040C"/>
    <w:rsid w:val="003F1C55"/>
    <w:rsid w:val="003F5161"/>
    <w:rsid w:val="00402CC6"/>
    <w:rsid w:val="00415326"/>
    <w:rsid w:val="00415437"/>
    <w:rsid w:val="00426A37"/>
    <w:rsid w:val="00432AE0"/>
    <w:rsid w:val="00440E18"/>
    <w:rsid w:val="00461114"/>
    <w:rsid w:val="00464EA5"/>
    <w:rsid w:val="004666E7"/>
    <w:rsid w:val="00471865"/>
    <w:rsid w:val="004814EC"/>
    <w:rsid w:val="00491FC8"/>
    <w:rsid w:val="00493307"/>
    <w:rsid w:val="00497AFF"/>
    <w:rsid w:val="004A0413"/>
    <w:rsid w:val="004B23B6"/>
    <w:rsid w:val="004C63BD"/>
    <w:rsid w:val="004D7621"/>
    <w:rsid w:val="004E612A"/>
    <w:rsid w:val="004F16F1"/>
    <w:rsid w:val="004F57AD"/>
    <w:rsid w:val="00513971"/>
    <w:rsid w:val="00525A6C"/>
    <w:rsid w:val="005338D4"/>
    <w:rsid w:val="00535CD8"/>
    <w:rsid w:val="00564E1C"/>
    <w:rsid w:val="00570081"/>
    <w:rsid w:val="00580FCD"/>
    <w:rsid w:val="00583B1A"/>
    <w:rsid w:val="00584079"/>
    <w:rsid w:val="005A063D"/>
    <w:rsid w:val="005B017C"/>
    <w:rsid w:val="005B50F5"/>
    <w:rsid w:val="005B7204"/>
    <w:rsid w:val="005C3297"/>
    <w:rsid w:val="005C38F2"/>
    <w:rsid w:val="005D1211"/>
    <w:rsid w:val="005D7BB4"/>
    <w:rsid w:val="005E0366"/>
    <w:rsid w:val="005E0B9D"/>
    <w:rsid w:val="005E3EB7"/>
    <w:rsid w:val="005E5929"/>
    <w:rsid w:val="006007EE"/>
    <w:rsid w:val="0060190C"/>
    <w:rsid w:val="00604771"/>
    <w:rsid w:val="0063067A"/>
    <w:rsid w:val="0065346D"/>
    <w:rsid w:val="00657B01"/>
    <w:rsid w:val="00677DEC"/>
    <w:rsid w:val="006808CC"/>
    <w:rsid w:val="0068608F"/>
    <w:rsid w:val="00686B07"/>
    <w:rsid w:val="0069545F"/>
    <w:rsid w:val="006B3BE7"/>
    <w:rsid w:val="006C784B"/>
    <w:rsid w:val="006D4730"/>
    <w:rsid w:val="006D50CE"/>
    <w:rsid w:val="006E165C"/>
    <w:rsid w:val="00700EFB"/>
    <w:rsid w:val="00701B87"/>
    <w:rsid w:val="00703749"/>
    <w:rsid w:val="00712C9E"/>
    <w:rsid w:val="007145E6"/>
    <w:rsid w:val="007510E4"/>
    <w:rsid w:val="00773C14"/>
    <w:rsid w:val="0077524F"/>
    <w:rsid w:val="007832AA"/>
    <w:rsid w:val="0078633F"/>
    <w:rsid w:val="00786C87"/>
    <w:rsid w:val="007941E5"/>
    <w:rsid w:val="007A4F75"/>
    <w:rsid w:val="007C494A"/>
    <w:rsid w:val="007C5D29"/>
    <w:rsid w:val="007D15FB"/>
    <w:rsid w:val="007D30BA"/>
    <w:rsid w:val="007D73C9"/>
    <w:rsid w:val="007F24C3"/>
    <w:rsid w:val="007F6D7C"/>
    <w:rsid w:val="008012AF"/>
    <w:rsid w:val="008165D2"/>
    <w:rsid w:val="00821D26"/>
    <w:rsid w:val="0083288F"/>
    <w:rsid w:val="008543F9"/>
    <w:rsid w:val="00865415"/>
    <w:rsid w:val="00872603"/>
    <w:rsid w:val="008A6759"/>
    <w:rsid w:val="008A6EE1"/>
    <w:rsid w:val="008A7482"/>
    <w:rsid w:val="008D0563"/>
    <w:rsid w:val="008E1126"/>
    <w:rsid w:val="008E5D9F"/>
    <w:rsid w:val="008E7F60"/>
    <w:rsid w:val="008F520B"/>
    <w:rsid w:val="00906E4E"/>
    <w:rsid w:val="00914130"/>
    <w:rsid w:val="00920A56"/>
    <w:rsid w:val="009414EE"/>
    <w:rsid w:val="00941F83"/>
    <w:rsid w:val="009427B9"/>
    <w:rsid w:val="00955B79"/>
    <w:rsid w:val="009562C0"/>
    <w:rsid w:val="00977B63"/>
    <w:rsid w:val="00987B46"/>
    <w:rsid w:val="00990BAC"/>
    <w:rsid w:val="009B05F2"/>
    <w:rsid w:val="009B29F2"/>
    <w:rsid w:val="009C4B52"/>
    <w:rsid w:val="009D0742"/>
    <w:rsid w:val="009D4221"/>
    <w:rsid w:val="009D6804"/>
    <w:rsid w:val="009F09D6"/>
    <w:rsid w:val="00A010C9"/>
    <w:rsid w:val="00A03D1A"/>
    <w:rsid w:val="00A230BF"/>
    <w:rsid w:val="00A432DB"/>
    <w:rsid w:val="00A45CF1"/>
    <w:rsid w:val="00A5201E"/>
    <w:rsid w:val="00A562BB"/>
    <w:rsid w:val="00A60CDC"/>
    <w:rsid w:val="00A64A8F"/>
    <w:rsid w:val="00A75653"/>
    <w:rsid w:val="00A84D96"/>
    <w:rsid w:val="00AA0BC2"/>
    <w:rsid w:val="00AA3C46"/>
    <w:rsid w:val="00AB2698"/>
    <w:rsid w:val="00AB4E13"/>
    <w:rsid w:val="00AB56D1"/>
    <w:rsid w:val="00AC0F10"/>
    <w:rsid w:val="00AD23A5"/>
    <w:rsid w:val="00AD2D39"/>
    <w:rsid w:val="00AD6789"/>
    <w:rsid w:val="00AD76F8"/>
    <w:rsid w:val="00AE328D"/>
    <w:rsid w:val="00AF410E"/>
    <w:rsid w:val="00AF6247"/>
    <w:rsid w:val="00B17CC6"/>
    <w:rsid w:val="00B43EE3"/>
    <w:rsid w:val="00B45F01"/>
    <w:rsid w:val="00B64688"/>
    <w:rsid w:val="00B760EF"/>
    <w:rsid w:val="00B8410F"/>
    <w:rsid w:val="00B9430E"/>
    <w:rsid w:val="00BA3FC5"/>
    <w:rsid w:val="00BA69E1"/>
    <w:rsid w:val="00BB2275"/>
    <w:rsid w:val="00BC2795"/>
    <w:rsid w:val="00BD2BCD"/>
    <w:rsid w:val="00BF5F6D"/>
    <w:rsid w:val="00C010AC"/>
    <w:rsid w:val="00C0403B"/>
    <w:rsid w:val="00C1510A"/>
    <w:rsid w:val="00C15976"/>
    <w:rsid w:val="00C34630"/>
    <w:rsid w:val="00C4440E"/>
    <w:rsid w:val="00C44425"/>
    <w:rsid w:val="00C53012"/>
    <w:rsid w:val="00C63EDB"/>
    <w:rsid w:val="00C64022"/>
    <w:rsid w:val="00C76310"/>
    <w:rsid w:val="00C8667D"/>
    <w:rsid w:val="00C87344"/>
    <w:rsid w:val="00C92099"/>
    <w:rsid w:val="00C92B6D"/>
    <w:rsid w:val="00C93ADA"/>
    <w:rsid w:val="00C97351"/>
    <w:rsid w:val="00CA16B2"/>
    <w:rsid w:val="00CB3A2B"/>
    <w:rsid w:val="00CB4AC5"/>
    <w:rsid w:val="00CD2C4D"/>
    <w:rsid w:val="00CD4EA0"/>
    <w:rsid w:val="00CE1FF3"/>
    <w:rsid w:val="00CE407C"/>
    <w:rsid w:val="00CF003C"/>
    <w:rsid w:val="00D16207"/>
    <w:rsid w:val="00D244D6"/>
    <w:rsid w:val="00D25038"/>
    <w:rsid w:val="00D330FA"/>
    <w:rsid w:val="00D37BCF"/>
    <w:rsid w:val="00D42F14"/>
    <w:rsid w:val="00D47A07"/>
    <w:rsid w:val="00D523ED"/>
    <w:rsid w:val="00D539ED"/>
    <w:rsid w:val="00D67864"/>
    <w:rsid w:val="00DA495C"/>
    <w:rsid w:val="00DB57C2"/>
    <w:rsid w:val="00DC1764"/>
    <w:rsid w:val="00E1361E"/>
    <w:rsid w:val="00E528B8"/>
    <w:rsid w:val="00E52CAD"/>
    <w:rsid w:val="00E5370C"/>
    <w:rsid w:val="00E57197"/>
    <w:rsid w:val="00E65410"/>
    <w:rsid w:val="00E7465D"/>
    <w:rsid w:val="00E81CBD"/>
    <w:rsid w:val="00E8674C"/>
    <w:rsid w:val="00E94B37"/>
    <w:rsid w:val="00EA78D9"/>
    <w:rsid w:val="00EB00D0"/>
    <w:rsid w:val="00EC6C8C"/>
    <w:rsid w:val="00ED0D9D"/>
    <w:rsid w:val="00ED2D63"/>
    <w:rsid w:val="00ED5269"/>
    <w:rsid w:val="00ED6463"/>
    <w:rsid w:val="00EE0C95"/>
    <w:rsid w:val="00EE2C17"/>
    <w:rsid w:val="00F00508"/>
    <w:rsid w:val="00F21EAB"/>
    <w:rsid w:val="00F252E5"/>
    <w:rsid w:val="00F26438"/>
    <w:rsid w:val="00F33693"/>
    <w:rsid w:val="00F337AB"/>
    <w:rsid w:val="00F46A54"/>
    <w:rsid w:val="00F52D9F"/>
    <w:rsid w:val="00F629CA"/>
    <w:rsid w:val="00F77A06"/>
    <w:rsid w:val="00F821B5"/>
    <w:rsid w:val="00F91AFF"/>
    <w:rsid w:val="00F94A3B"/>
    <w:rsid w:val="00F973FE"/>
    <w:rsid w:val="00FA2DAF"/>
    <w:rsid w:val="00FA7BBB"/>
    <w:rsid w:val="00FB2DD9"/>
    <w:rsid w:val="00FC0B99"/>
    <w:rsid w:val="00FC2A1B"/>
    <w:rsid w:val="00FD1707"/>
    <w:rsid w:val="00FD320D"/>
    <w:rsid w:val="00FE0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E2C1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25E6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510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D170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E2C17"/>
    <w:rPr>
      <w:rFonts w:ascii="Cambria" w:hAnsi="Cambria"/>
      <w:b/>
      <w:color w:val="365F91"/>
      <w:sz w:val="28"/>
    </w:rPr>
  </w:style>
  <w:style w:type="character" w:customStyle="1" w:styleId="Heading2Char">
    <w:name w:val="Heading 2 Char"/>
    <w:link w:val="Heading2"/>
    <w:uiPriority w:val="99"/>
    <w:locked/>
    <w:rsid w:val="00225E66"/>
    <w:rPr>
      <w:rFonts w:ascii="Cambria" w:hAnsi="Cambria"/>
      <w:b/>
      <w:color w:val="4F81BD"/>
      <w:sz w:val="26"/>
    </w:rPr>
  </w:style>
  <w:style w:type="character" w:customStyle="1" w:styleId="Heading3Char">
    <w:name w:val="Heading 3 Char"/>
    <w:link w:val="Heading3"/>
    <w:uiPriority w:val="9"/>
    <w:locked/>
    <w:rsid w:val="007510E4"/>
    <w:rPr>
      <w:rFonts w:ascii="Cambria" w:hAnsi="Cambria"/>
      <w:b/>
      <w:color w:val="4F81BD"/>
    </w:rPr>
  </w:style>
  <w:style w:type="character" w:customStyle="1" w:styleId="Heading4Char">
    <w:name w:val="Heading 4 Char"/>
    <w:link w:val="Heading4"/>
    <w:uiPriority w:val="9"/>
    <w:locked/>
    <w:rsid w:val="00FD1707"/>
    <w:rPr>
      <w:rFonts w:ascii="Cambria" w:hAnsi="Cambria"/>
      <w:b/>
      <w:i/>
      <w:color w:val="4F81BD"/>
    </w:rPr>
  </w:style>
  <w:style w:type="paragraph" w:styleId="ListParagraph">
    <w:name w:val="List Paragraph"/>
    <w:basedOn w:val="Normal"/>
    <w:qFormat/>
    <w:rsid w:val="00CD4EA0"/>
    <w:pPr>
      <w:ind w:left="720"/>
      <w:contextualSpacing/>
    </w:pPr>
  </w:style>
  <w:style w:type="paragraph" w:styleId="FootnoteText">
    <w:name w:val="footnote text"/>
    <w:aliases w:val="Footnote Text Char Char Char"/>
    <w:basedOn w:val="Normal"/>
    <w:link w:val="FootnoteTextChar2"/>
    <w:uiPriority w:val="99"/>
    <w:semiHidden/>
    <w:unhideWhenUsed/>
    <w:rsid w:val="003F040C"/>
    <w:rPr>
      <w:sz w:val="20"/>
      <w:szCs w:val="20"/>
    </w:rPr>
  </w:style>
  <w:style w:type="character" w:customStyle="1" w:styleId="FootnoteTextChar">
    <w:name w:val="Footnote Text Char"/>
    <w:aliases w:val="Footnote Text Char Char Char Char"/>
    <w:uiPriority w:val="99"/>
    <w:semiHidden/>
    <w:rsid w:val="00175940"/>
  </w:style>
  <w:style w:type="character" w:customStyle="1" w:styleId="FootnoteTextChar2">
    <w:name w:val="Footnote Text Char2"/>
    <w:aliases w:val="Footnote Text Char Char Char Char1"/>
    <w:link w:val="FootnoteText"/>
    <w:uiPriority w:val="99"/>
    <w:semiHidden/>
    <w:locked/>
    <w:rsid w:val="003F040C"/>
    <w:rPr>
      <w:rFonts w:ascii="Calibri" w:hAnsi="Calibri"/>
      <w:sz w:val="20"/>
    </w:rPr>
  </w:style>
  <w:style w:type="character" w:styleId="FootnoteReference">
    <w:name w:val="footnote reference"/>
    <w:semiHidden/>
    <w:unhideWhenUsed/>
    <w:rsid w:val="003F040C"/>
    <w:rPr>
      <w:vertAlign w:val="superscript"/>
    </w:rPr>
  </w:style>
  <w:style w:type="character" w:customStyle="1" w:styleId="contributornametrigger">
    <w:name w:val="contributornametrigger"/>
    <w:uiPriority w:val="99"/>
    <w:rsid w:val="003F040C"/>
  </w:style>
  <w:style w:type="character" w:styleId="Hyperlink">
    <w:name w:val="Hyperlink"/>
    <w:uiPriority w:val="99"/>
    <w:rsid w:val="003F040C"/>
    <w:rPr>
      <w:color w:val="0000FF"/>
      <w:u w:val="single"/>
    </w:rPr>
  </w:style>
  <w:style w:type="character" w:customStyle="1" w:styleId="ptbrand">
    <w:name w:val="ptbrand"/>
    <w:uiPriority w:val="99"/>
    <w:rsid w:val="003F040C"/>
  </w:style>
  <w:style w:type="character" w:customStyle="1" w:styleId="bindingandrelease">
    <w:name w:val="bindingandrelease"/>
    <w:uiPriority w:val="99"/>
    <w:rsid w:val="003F040C"/>
  </w:style>
  <w:style w:type="paragraph" w:styleId="Header">
    <w:name w:val="header"/>
    <w:basedOn w:val="Normal"/>
    <w:link w:val="HeaderChar"/>
    <w:uiPriority w:val="99"/>
    <w:unhideWhenUsed/>
    <w:rsid w:val="00EE2C17"/>
    <w:pPr>
      <w:tabs>
        <w:tab w:val="center" w:pos="4680"/>
        <w:tab w:val="right" w:pos="9360"/>
      </w:tabs>
      <w:spacing w:after="0" w:line="240" w:lineRule="auto"/>
    </w:pPr>
  </w:style>
  <w:style w:type="character" w:customStyle="1" w:styleId="HeaderChar">
    <w:name w:val="Header Char"/>
    <w:link w:val="Header"/>
    <w:uiPriority w:val="99"/>
    <w:locked/>
    <w:rsid w:val="00EE2C17"/>
    <w:rPr>
      <w:rFonts w:cs="Times New Roman"/>
    </w:rPr>
  </w:style>
  <w:style w:type="paragraph" w:styleId="Footer">
    <w:name w:val="footer"/>
    <w:basedOn w:val="Normal"/>
    <w:link w:val="FooterChar"/>
    <w:uiPriority w:val="99"/>
    <w:unhideWhenUsed/>
    <w:rsid w:val="00EE2C17"/>
    <w:pPr>
      <w:tabs>
        <w:tab w:val="center" w:pos="4680"/>
        <w:tab w:val="right" w:pos="9360"/>
      </w:tabs>
      <w:spacing w:after="0" w:line="240" w:lineRule="auto"/>
    </w:pPr>
  </w:style>
  <w:style w:type="character" w:customStyle="1" w:styleId="FooterChar">
    <w:name w:val="Footer Char"/>
    <w:link w:val="Footer"/>
    <w:uiPriority w:val="99"/>
    <w:locked/>
    <w:rsid w:val="00EE2C17"/>
    <w:rPr>
      <w:rFonts w:cs="Times New Roman"/>
    </w:rPr>
  </w:style>
  <w:style w:type="paragraph" w:styleId="BalloonText">
    <w:name w:val="Balloon Text"/>
    <w:basedOn w:val="Normal"/>
    <w:link w:val="BalloonTextChar"/>
    <w:uiPriority w:val="99"/>
    <w:semiHidden/>
    <w:unhideWhenUsed/>
    <w:rsid w:val="001A0F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A0F3D"/>
    <w:rPr>
      <w:rFonts w:ascii="Tahoma" w:hAnsi="Tahoma"/>
      <w:sz w:val="16"/>
    </w:rPr>
  </w:style>
  <w:style w:type="character" w:customStyle="1" w:styleId="FootnoteTextChar1">
    <w:name w:val="Footnote Text Char1"/>
    <w:aliases w:val="Footnote Text Char Char,Footnote Text Char Char Char Char2"/>
    <w:locked/>
    <w:rsid w:val="008D0563"/>
    <w:rPr>
      <w:lang w:val="en-US" w:eastAsia="en-US"/>
    </w:rPr>
  </w:style>
  <w:style w:type="paragraph" w:styleId="Caption">
    <w:name w:val="caption"/>
    <w:basedOn w:val="Normal"/>
    <w:next w:val="Normal"/>
    <w:uiPriority w:val="35"/>
    <w:unhideWhenUsed/>
    <w:qFormat/>
    <w:rsid w:val="00E5370C"/>
    <w:pPr>
      <w:spacing w:line="240" w:lineRule="auto"/>
    </w:pPr>
    <w:rPr>
      <w:b/>
      <w:bCs/>
      <w:color w:val="4F81BD"/>
      <w:sz w:val="18"/>
      <w:szCs w:val="18"/>
    </w:rPr>
  </w:style>
  <w:style w:type="character" w:styleId="CommentReference">
    <w:name w:val="annotation reference"/>
    <w:uiPriority w:val="99"/>
    <w:semiHidden/>
    <w:unhideWhenUsed/>
    <w:rsid w:val="00865415"/>
    <w:rPr>
      <w:sz w:val="16"/>
    </w:rPr>
  </w:style>
  <w:style w:type="paragraph" w:styleId="CommentText">
    <w:name w:val="annotation text"/>
    <w:basedOn w:val="Normal"/>
    <w:link w:val="CommentTextChar"/>
    <w:uiPriority w:val="99"/>
    <w:semiHidden/>
    <w:unhideWhenUsed/>
    <w:rsid w:val="00865415"/>
    <w:pPr>
      <w:spacing w:line="240" w:lineRule="auto"/>
    </w:pPr>
    <w:rPr>
      <w:sz w:val="20"/>
      <w:szCs w:val="20"/>
    </w:rPr>
  </w:style>
  <w:style w:type="character" w:customStyle="1" w:styleId="CommentTextChar">
    <w:name w:val="Comment Text Char"/>
    <w:link w:val="CommentText"/>
    <w:uiPriority w:val="99"/>
    <w:semiHidden/>
    <w:locked/>
    <w:rsid w:val="00865415"/>
    <w:rPr>
      <w:sz w:val="20"/>
    </w:rPr>
  </w:style>
  <w:style w:type="paragraph" w:styleId="CommentSubject">
    <w:name w:val="annotation subject"/>
    <w:basedOn w:val="CommentText"/>
    <w:next w:val="CommentText"/>
    <w:link w:val="CommentSubjectChar"/>
    <w:uiPriority w:val="99"/>
    <w:semiHidden/>
    <w:unhideWhenUsed/>
    <w:rsid w:val="00865415"/>
    <w:rPr>
      <w:b/>
      <w:bCs/>
    </w:rPr>
  </w:style>
  <w:style w:type="character" w:customStyle="1" w:styleId="CommentSubjectChar">
    <w:name w:val="Comment Subject Char"/>
    <w:link w:val="CommentSubject"/>
    <w:uiPriority w:val="99"/>
    <w:semiHidden/>
    <w:locked/>
    <w:rsid w:val="00865415"/>
    <w:rPr>
      <w:b/>
      <w:sz w:val="20"/>
    </w:rPr>
  </w:style>
  <w:style w:type="table" w:styleId="TableGrid">
    <w:name w:val="Table Grid"/>
    <w:basedOn w:val="TableNormal"/>
    <w:uiPriority w:val="59"/>
    <w:rsid w:val="005C32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592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E2C1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25E66"/>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7510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FD170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E2C17"/>
    <w:rPr>
      <w:rFonts w:ascii="Cambria" w:hAnsi="Cambria"/>
      <w:b/>
      <w:color w:val="365F91"/>
      <w:sz w:val="28"/>
    </w:rPr>
  </w:style>
  <w:style w:type="character" w:customStyle="1" w:styleId="Heading2Char">
    <w:name w:val="Heading 2 Char"/>
    <w:link w:val="Heading2"/>
    <w:uiPriority w:val="99"/>
    <w:locked/>
    <w:rsid w:val="00225E66"/>
    <w:rPr>
      <w:rFonts w:ascii="Cambria" w:hAnsi="Cambria"/>
      <w:b/>
      <w:color w:val="4F81BD"/>
      <w:sz w:val="26"/>
    </w:rPr>
  </w:style>
  <w:style w:type="character" w:customStyle="1" w:styleId="Heading3Char">
    <w:name w:val="Heading 3 Char"/>
    <w:link w:val="Heading3"/>
    <w:uiPriority w:val="9"/>
    <w:locked/>
    <w:rsid w:val="007510E4"/>
    <w:rPr>
      <w:rFonts w:ascii="Cambria" w:hAnsi="Cambria"/>
      <w:b/>
      <w:color w:val="4F81BD"/>
    </w:rPr>
  </w:style>
  <w:style w:type="character" w:customStyle="1" w:styleId="Heading4Char">
    <w:name w:val="Heading 4 Char"/>
    <w:link w:val="Heading4"/>
    <w:uiPriority w:val="9"/>
    <w:locked/>
    <w:rsid w:val="00FD1707"/>
    <w:rPr>
      <w:rFonts w:ascii="Cambria" w:hAnsi="Cambria"/>
      <w:b/>
      <w:i/>
      <w:color w:val="4F81BD"/>
    </w:rPr>
  </w:style>
  <w:style w:type="paragraph" w:styleId="ListParagraph">
    <w:name w:val="List Paragraph"/>
    <w:basedOn w:val="Normal"/>
    <w:qFormat/>
    <w:rsid w:val="00CD4EA0"/>
    <w:pPr>
      <w:ind w:left="720"/>
      <w:contextualSpacing/>
    </w:pPr>
  </w:style>
  <w:style w:type="paragraph" w:styleId="FootnoteText">
    <w:name w:val="footnote text"/>
    <w:aliases w:val="Footnote Text Char Char Char"/>
    <w:basedOn w:val="Normal"/>
    <w:link w:val="FootnoteTextChar2"/>
    <w:uiPriority w:val="99"/>
    <w:semiHidden/>
    <w:unhideWhenUsed/>
    <w:rsid w:val="003F040C"/>
    <w:rPr>
      <w:sz w:val="20"/>
      <w:szCs w:val="20"/>
    </w:rPr>
  </w:style>
  <w:style w:type="character" w:customStyle="1" w:styleId="FootnoteTextChar">
    <w:name w:val="Footnote Text Char"/>
    <w:aliases w:val="Footnote Text Char Char Char Char"/>
    <w:uiPriority w:val="99"/>
    <w:semiHidden/>
    <w:rsid w:val="00175940"/>
  </w:style>
  <w:style w:type="character" w:customStyle="1" w:styleId="FootnoteTextChar2">
    <w:name w:val="Footnote Text Char2"/>
    <w:aliases w:val="Footnote Text Char Char Char Char1"/>
    <w:link w:val="FootnoteText"/>
    <w:uiPriority w:val="99"/>
    <w:semiHidden/>
    <w:locked/>
    <w:rsid w:val="003F040C"/>
    <w:rPr>
      <w:rFonts w:ascii="Calibri" w:hAnsi="Calibri"/>
      <w:sz w:val="20"/>
    </w:rPr>
  </w:style>
  <w:style w:type="character" w:styleId="FootnoteReference">
    <w:name w:val="footnote reference"/>
    <w:semiHidden/>
    <w:unhideWhenUsed/>
    <w:rsid w:val="003F040C"/>
    <w:rPr>
      <w:vertAlign w:val="superscript"/>
    </w:rPr>
  </w:style>
  <w:style w:type="character" w:customStyle="1" w:styleId="contributornametrigger">
    <w:name w:val="contributornametrigger"/>
    <w:uiPriority w:val="99"/>
    <w:rsid w:val="003F040C"/>
  </w:style>
  <w:style w:type="character" w:styleId="Hyperlink">
    <w:name w:val="Hyperlink"/>
    <w:uiPriority w:val="99"/>
    <w:rsid w:val="003F040C"/>
    <w:rPr>
      <w:color w:val="0000FF"/>
      <w:u w:val="single"/>
    </w:rPr>
  </w:style>
  <w:style w:type="character" w:customStyle="1" w:styleId="ptbrand">
    <w:name w:val="ptbrand"/>
    <w:uiPriority w:val="99"/>
    <w:rsid w:val="003F040C"/>
  </w:style>
  <w:style w:type="character" w:customStyle="1" w:styleId="bindingandrelease">
    <w:name w:val="bindingandrelease"/>
    <w:uiPriority w:val="99"/>
    <w:rsid w:val="003F040C"/>
  </w:style>
  <w:style w:type="paragraph" w:styleId="Header">
    <w:name w:val="header"/>
    <w:basedOn w:val="Normal"/>
    <w:link w:val="HeaderChar"/>
    <w:uiPriority w:val="99"/>
    <w:unhideWhenUsed/>
    <w:rsid w:val="00EE2C17"/>
    <w:pPr>
      <w:tabs>
        <w:tab w:val="center" w:pos="4680"/>
        <w:tab w:val="right" w:pos="9360"/>
      </w:tabs>
      <w:spacing w:after="0" w:line="240" w:lineRule="auto"/>
    </w:pPr>
  </w:style>
  <w:style w:type="character" w:customStyle="1" w:styleId="HeaderChar">
    <w:name w:val="Header Char"/>
    <w:link w:val="Header"/>
    <w:uiPriority w:val="99"/>
    <w:locked/>
    <w:rsid w:val="00EE2C17"/>
    <w:rPr>
      <w:rFonts w:cs="Times New Roman"/>
    </w:rPr>
  </w:style>
  <w:style w:type="paragraph" w:styleId="Footer">
    <w:name w:val="footer"/>
    <w:basedOn w:val="Normal"/>
    <w:link w:val="FooterChar"/>
    <w:uiPriority w:val="99"/>
    <w:unhideWhenUsed/>
    <w:rsid w:val="00EE2C17"/>
    <w:pPr>
      <w:tabs>
        <w:tab w:val="center" w:pos="4680"/>
        <w:tab w:val="right" w:pos="9360"/>
      </w:tabs>
      <w:spacing w:after="0" w:line="240" w:lineRule="auto"/>
    </w:pPr>
  </w:style>
  <w:style w:type="character" w:customStyle="1" w:styleId="FooterChar">
    <w:name w:val="Footer Char"/>
    <w:link w:val="Footer"/>
    <w:uiPriority w:val="99"/>
    <w:locked/>
    <w:rsid w:val="00EE2C17"/>
    <w:rPr>
      <w:rFonts w:cs="Times New Roman"/>
    </w:rPr>
  </w:style>
  <w:style w:type="paragraph" w:styleId="BalloonText">
    <w:name w:val="Balloon Text"/>
    <w:basedOn w:val="Normal"/>
    <w:link w:val="BalloonTextChar"/>
    <w:uiPriority w:val="99"/>
    <w:semiHidden/>
    <w:unhideWhenUsed/>
    <w:rsid w:val="001A0F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A0F3D"/>
    <w:rPr>
      <w:rFonts w:ascii="Tahoma" w:hAnsi="Tahoma"/>
      <w:sz w:val="16"/>
    </w:rPr>
  </w:style>
  <w:style w:type="character" w:customStyle="1" w:styleId="FootnoteTextChar1">
    <w:name w:val="Footnote Text Char1"/>
    <w:aliases w:val="Footnote Text Char Char,Footnote Text Char Char Char Char2"/>
    <w:locked/>
    <w:rsid w:val="008D0563"/>
    <w:rPr>
      <w:lang w:val="en-US" w:eastAsia="en-US"/>
    </w:rPr>
  </w:style>
  <w:style w:type="paragraph" w:styleId="Caption">
    <w:name w:val="caption"/>
    <w:basedOn w:val="Normal"/>
    <w:next w:val="Normal"/>
    <w:uiPriority w:val="35"/>
    <w:unhideWhenUsed/>
    <w:qFormat/>
    <w:rsid w:val="00E5370C"/>
    <w:pPr>
      <w:spacing w:line="240" w:lineRule="auto"/>
    </w:pPr>
    <w:rPr>
      <w:b/>
      <w:bCs/>
      <w:color w:val="4F81BD"/>
      <w:sz w:val="18"/>
      <w:szCs w:val="18"/>
    </w:rPr>
  </w:style>
  <w:style w:type="character" w:styleId="CommentReference">
    <w:name w:val="annotation reference"/>
    <w:uiPriority w:val="99"/>
    <w:semiHidden/>
    <w:unhideWhenUsed/>
    <w:rsid w:val="00865415"/>
    <w:rPr>
      <w:sz w:val="16"/>
    </w:rPr>
  </w:style>
  <w:style w:type="paragraph" w:styleId="CommentText">
    <w:name w:val="annotation text"/>
    <w:basedOn w:val="Normal"/>
    <w:link w:val="CommentTextChar"/>
    <w:uiPriority w:val="99"/>
    <w:semiHidden/>
    <w:unhideWhenUsed/>
    <w:rsid w:val="00865415"/>
    <w:pPr>
      <w:spacing w:line="240" w:lineRule="auto"/>
    </w:pPr>
    <w:rPr>
      <w:sz w:val="20"/>
      <w:szCs w:val="20"/>
    </w:rPr>
  </w:style>
  <w:style w:type="character" w:customStyle="1" w:styleId="CommentTextChar">
    <w:name w:val="Comment Text Char"/>
    <w:link w:val="CommentText"/>
    <w:uiPriority w:val="99"/>
    <w:semiHidden/>
    <w:locked/>
    <w:rsid w:val="00865415"/>
    <w:rPr>
      <w:sz w:val="20"/>
    </w:rPr>
  </w:style>
  <w:style w:type="paragraph" w:styleId="CommentSubject">
    <w:name w:val="annotation subject"/>
    <w:basedOn w:val="CommentText"/>
    <w:next w:val="CommentText"/>
    <w:link w:val="CommentSubjectChar"/>
    <w:uiPriority w:val="99"/>
    <w:semiHidden/>
    <w:unhideWhenUsed/>
    <w:rsid w:val="00865415"/>
    <w:rPr>
      <w:b/>
      <w:bCs/>
    </w:rPr>
  </w:style>
  <w:style w:type="character" w:customStyle="1" w:styleId="CommentSubjectChar">
    <w:name w:val="Comment Subject Char"/>
    <w:link w:val="CommentSubject"/>
    <w:uiPriority w:val="99"/>
    <w:semiHidden/>
    <w:locked/>
    <w:rsid w:val="00865415"/>
    <w:rPr>
      <w:b/>
      <w:sz w:val="20"/>
    </w:rPr>
  </w:style>
  <w:style w:type="table" w:styleId="TableGrid">
    <w:name w:val="Table Grid"/>
    <w:basedOn w:val="TableNormal"/>
    <w:uiPriority w:val="59"/>
    <w:rsid w:val="005C32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E592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12138">
      <w:marLeft w:val="0"/>
      <w:marRight w:val="0"/>
      <w:marTop w:val="0"/>
      <w:marBottom w:val="0"/>
      <w:divBdr>
        <w:top w:val="none" w:sz="0" w:space="0" w:color="auto"/>
        <w:left w:val="none" w:sz="0" w:space="0" w:color="auto"/>
        <w:bottom w:val="none" w:sz="0" w:space="0" w:color="auto"/>
        <w:right w:val="none" w:sz="0" w:space="0" w:color="auto"/>
      </w:divBdr>
    </w:div>
    <w:div w:id="841512139">
      <w:marLeft w:val="0"/>
      <w:marRight w:val="0"/>
      <w:marTop w:val="0"/>
      <w:marBottom w:val="0"/>
      <w:divBdr>
        <w:top w:val="none" w:sz="0" w:space="0" w:color="auto"/>
        <w:left w:val="none" w:sz="0" w:space="0" w:color="auto"/>
        <w:bottom w:val="none" w:sz="0" w:space="0" w:color="auto"/>
        <w:right w:val="none" w:sz="0" w:space="0" w:color="auto"/>
      </w:divBdr>
    </w:div>
    <w:div w:id="841512140">
      <w:marLeft w:val="0"/>
      <w:marRight w:val="0"/>
      <w:marTop w:val="0"/>
      <w:marBottom w:val="0"/>
      <w:divBdr>
        <w:top w:val="none" w:sz="0" w:space="0" w:color="auto"/>
        <w:left w:val="none" w:sz="0" w:space="0" w:color="auto"/>
        <w:bottom w:val="none" w:sz="0" w:space="0" w:color="auto"/>
        <w:right w:val="none" w:sz="0" w:space="0" w:color="auto"/>
      </w:divBdr>
    </w:div>
    <w:div w:id="168886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com/Jeanne-G.-Harris/e/B001JS4YOK/ref=sr_ntt_srch_lnk_1?qid=1330918552&amp;sr=1-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zon.com/Thomas-H.-Davenport/e/B000APNYLC/ref=sr_ntt_srch_lnk_1?qid=1330918552&amp;sr=1-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aw.rutgers.edu/MiklosVasarhelyi/Resume%20Articles/PROFESSIONAL%20PAPERS/P07.%20framework%20for%20audit%20automation12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grave-journals.com/jdg/journal/v6/n3/abs/jdg20095a.html" TargetMode="External"/><Relationship Id="rId5" Type="http://schemas.openxmlformats.org/officeDocument/2006/relationships/settings" Target="settings.xml"/><Relationship Id="rId15" Type="http://schemas.openxmlformats.org/officeDocument/2006/relationships/hyperlink" Target="http://raw.rutgers.edu/MiklosVasarhelyi/Resume%20Articles/MAJOR%20REFEREED%20ARTICLES/M08.%20automation%20and%20changes%20in%20audit%20process.pdf"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mazon.com/Competing-Analytics-The-Science-Winning/dp/1422103323/ref=sr_1_1?s=books&amp;ie=UTF8&amp;qid=1330918552&amp;sr=1-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bsnews.com/video/watch/?id=5013876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B29A-F080-4351-BAC6-C03ED63A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5351</Words>
  <Characters>30502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Links>
    <vt:vector size="60" baseType="variant">
      <vt:variant>
        <vt:i4>7340138</vt:i4>
      </vt:variant>
      <vt:variant>
        <vt:i4>45</vt:i4>
      </vt:variant>
      <vt:variant>
        <vt:i4>0</vt:i4>
      </vt:variant>
      <vt:variant>
        <vt:i4>5</vt:i4>
      </vt:variant>
      <vt:variant>
        <vt:lpwstr>http://raw.rutgers.edu/MiklosVasarhelyi/Resume Articles/PROFESSIONAL PAPERS/P07. framework for audit automation122.pdf</vt:lpwstr>
      </vt:variant>
      <vt:variant>
        <vt:lpwstr/>
      </vt:variant>
      <vt:variant>
        <vt:i4>262160</vt:i4>
      </vt:variant>
      <vt:variant>
        <vt:i4>42</vt:i4>
      </vt:variant>
      <vt:variant>
        <vt:i4>0</vt:i4>
      </vt:variant>
      <vt:variant>
        <vt:i4>5</vt:i4>
      </vt:variant>
      <vt:variant>
        <vt:lpwstr>http://raw.rutgers.edu/MiklosVasarhelyi/Resume Articles/PROFESSIONAL PAPERS/P08. audit automation124.pdf</vt:lpwstr>
      </vt:variant>
      <vt:variant>
        <vt:lpwstr/>
      </vt:variant>
      <vt:variant>
        <vt:i4>589829</vt:i4>
      </vt:variant>
      <vt:variant>
        <vt:i4>39</vt:i4>
      </vt:variant>
      <vt:variant>
        <vt:i4>0</vt:i4>
      </vt:variant>
      <vt:variant>
        <vt:i4>5</vt:i4>
      </vt:variant>
      <vt:variant>
        <vt:lpwstr>http://raw.rutgers.edu/MiklosVasarhelyi/Resume Articles/MAJOR REFEREED ARTICLES/M08. automation and changes in audit process.pdf</vt:lpwstr>
      </vt:variant>
      <vt:variant>
        <vt:lpwstr/>
      </vt:variant>
      <vt:variant>
        <vt:i4>5570654</vt:i4>
      </vt:variant>
      <vt:variant>
        <vt:i4>36</vt:i4>
      </vt:variant>
      <vt:variant>
        <vt:i4>0</vt:i4>
      </vt:variant>
      <vt:variant>
        <vt:i4>5</vt:i4>
      </vt:variant>
      <vt:variant>
        <vt:lpwstr>http://www.amazon.com/Competing-Analytics-The-Science-Winning/dp/1422103323/ref=sr_1_1?s=books&amp;ie=UTF8&amp;qid=1330918552&amp;sr=1-1</vt:lpwstr>
      </vt:variant>
      <vt:variant>
        <vt:lpwstr/>
      </vt:variant>
      <vt:variant>
        <vt:i4>3407915</vt:i4>
      </vt:variant>
      <vt:variant>
        <vt:i4>33</vt:i4>
      </vt:variant>
      <vt:variant>
        <vt:i4>0</vt:i4>
      </vt:variant>
      <vt:variant>
        <vt:i4>5</vt:i4>
      </vt:variant>
      <vt:variant>
        <vt:lpwstr>http://www.amazon.com/Jeanne-G.-Harris/e/B001JS4YOK/ref=sr_ntt_srch_lnk_1?qid=1330918552&amp;sr=1-1</vt:lpwstr>
      </vt:variant>
      <vt:variant>
        <vt:lpwstr/>
      </vt:variant>
      <vt:variant>
        <vt:i4>3997745</vt:i4>
      </vt:variant>
      <vt:variant>
        <vt:i4>30</vt:i4>
      </vt:variant>
      <vt:variant>
        <vt:i4>0</vt:i4>
      </vt:variant>
      <vt:variant>
        <vt:i4>5</vt:i4>
      </vt:variant>
      <vt:variant>
        <vt:lpwstr>http://www.amazon.com/Thomas-H.-Davenport/e/B000APNYLC/ref=sr_ntt_srch_lnk_1?qid=1330918552&amp;sr=1-1</vt:lpwstr>
      </vt:variant>
      <vt:variant>
        <vt:lpwstr/>
      </vt:variant>
      <vt:variant>
        <vt:i4>786534</vt:i4>
      </vt:variant>
      <vt:variant>
        <vt:i4>9</vt:i4>
      </vt:variant>
      <vt:variant>
        <vt:i4>0</vt:i4>
      </vt:variant>
      <vt:variant>
        <vt:i4>5</vt:i4>
      </vt:variant>
      <vt:variant>
        <vt:lpwstr>mailto:kogan@rbsmail.rutgers.edu</vt:lpwstr>
      </vt:variant>
      <vt:variant>
        <vt:lpwstr/>
      </vt:variant>
      <vt:variant>
        <vt:i4>786534</vt:i4>
      </vt:variant>
      <vt:variant>
        <vt:i4>6</vt:i4>
      </vt:variant>
      <vt:variant>
        <vt:i4>0</vt:i4>
      </vt:variant>
      <vt:variant>
        <vt:i4>5</vt:i4>
      </vt:variant>
      <vt:variant>
        <vt:lpwstr>mailto:kogan@rbsmail.rutgers.edu</vt:lpwstr>
      </vt:variant>
      <vt:variant>
        <vt:lpwstr/>
      </vt:variant>
      <vt:variant>
        <vt:i4>655386</vt:i4>
      </vt:variant>
      <vt:variant>
        <vt:i4>3</vt:i4>
      </vt:variant>
      <vt:variant>
        <vt:i4>0</vt:i4>
      </vt:variant>
      <vt:variant>
        <vt:i4>5</vt:i4>
      </vt:variant>
      <vt:variant>
        <vt:lpwstr>http://www.cbsnews.com/video/watch/?id=50138761n</vt:lpwstr>
      </vt:variant>
      <vt:variant>
        <vt:lpwstr/>
      </vt:variant>
      <vt:variant>
        <vt:i4>655386</vt:i4>
      </vt:variant>
      <vt:variant>
        <vt:i4>0</vt:i4>
      </vt:variant>
      <vt:variant>
        <vt:i4>0</vt:i4>
      </vt:variant>
      <vt:variant>
        <vt:i4>5</vt:i4>
      </vt:variant>
      <vt:variant>
        <vt:lpwstr>http://www.cbsnews.com/video/watch/?id=50138761n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Vasarhelyi, Miklos</dc:creator>
  <cp:lastModifiedBy>Vasarhelyi, Miklos</cp:lastModifiedBy>
  <cp:revision>2</cp:revision>
  <cp:lastPrinted>2013-04-02T13:26:00Z</cp:lastPrinted>
  <dcterms:created xsi:type="dcterms:W3CDTF">2013-04-17T14:45:00Z</dcterms:created>
  <dcterms:modified xsi:type="dcterms:W3CDTF">2013-04-17T14:45:00Z</dcterms:modified>
</cp:coreProperties>
</file>