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D74" w:rsidRDefault="00BA7D74" w:rsidP="00185695">
      <w:pPr>
        <w:spacing w:after="0" w:line="240" w:lineRule="auto"/>
        <w:jc w:val="center"/>
        <w:rPr>
          <w:b/>
          <w:sz w:val="24"/>
          <w:szCs w:val="24"/>
        </w:rPr>
      </w:pPr>
      <w:r>
        <w:rPr>
          <w:noProof/>
        </w:rPr>
        <w:drawing>
          <wp:inline distT="0" distB="0" distL="0" distR="0">
            <wp:extent cx="2432050" cy="890684"/>
            <wp:effectExtent l="0" t="0" r="0" b="0"/>
            <wp:docPr id="10" name="Picture 1" descr="RU_SIG_RBSNNB_CMYK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RBSNNB_CMYK_S"/>
                    <pic:cNvPicPr>
                      <a:picLocks noChangeAspect="1" noChangeArrowheads="1"/>
                    </pic:cNvPicPr>
                  </pic:nvPicPr>
                  <pic:blipFill>
                    <a:blip r:embed="rId5" cstate="print"/>
                    <a:srcRect/>
                    <a:stretch>
                      <a:fillRect/>
                    </a:stretch>
                  </pic:blipFill>
                  <pic:spPr bwMode="auto">
                    <a:xfrm>
                      <a:off x="0" y="0"/>
                      <a:ext cx="2436914" cy="892465"/>
                    </a:xfrm>
                    <a:prstGeom prst="rect">
                      <a:avLst/>
                    </a:prstGeom>
                    <a:noFill/>
                    <a:ln w="9525">
                      <a:noFill/>
                      <a:miter lim="800000"/>
                      <a:headEnd/>
                      <a:tailEnd/>
                    </a:ln>
                  </pic:spPr>
                </pic:pic>
              </a:graphicData>
            </a:graphic>
          </wp:inline>
        </w:drawing>
      </w:r>
    </w:p>
    <w:p w:rsidR="00185695" w:rsidRPr="00810E53" w:rsidRDefault="00BA3746" w:rsidP="006504E3">
      <w:pPr>
        <w:spacing w:after="0" w:line="240" w:lineRule="auto"/>
        <w:jc w:val="center"/>
        <w:rPr>
          <w:b/>
          <w:i/>
          <w:sz w:val="28"/>
          <w:szCs w:val="28"/>
        </w:rPr>
      </w:pPr>
      <w:r w:rsidRPr="00AC37D8">
        <w:rPr>
          <w:b/>
          <w:sz w:val="28"/>
          <w:szCs w:val="28"/>
        </w:rPr>
        <w:t>9</w:t>
      </w:r>
      <w:r w:rsidR="006504E3" w:rsidRPr="00AC37D8">
        <w:rPr>
          <w:b/>
          <w:sz w:val="28"/>
          <w:szCs w:val="28"/>
        </w:rPr>
        <w:t>th</w:t>
      </w:r>
      <w:r w:rsidR="00DC0636">
        <w:rPr>
          <w:b/>
          <w:i/>
          <w:sz w:val="28"/>
          <w:szCs w:val="28"/>
        </w:rPr>
        <w:t xml:space="preserve"> Fraud </w:t>
      </w:r>
      <w:r w:rsidR="005D3413">
        <w:rPr>
          <w:b/>
          <w:i/>
          <w:sz w:val="28"/>
          <w:szCs w:val="28"/>
        </w:rPr>
        <w:t>Seminar</w:t>
      </w:r>
    </w:p>
    <w:p w:rsidR="00185695" w:rsidRPr="00810E53" w:rsidRDefault="009A190F" w:rsidP="00185695">
      <w:pPr>
        <w:spacing w:after="0" w:line="240" w:lineRule="auto"/>
        <w:jc w:val="center"/>
        <w:rPr>
          <w:b/>
          <w:sz w:val="28"/>
          <w:szCs w:val="28"/>
        </w:rPr>
      </w:pPr>
      <w:r>
        <w:rPr>
          <w:b/>
          <w:sz w:val="28"/>
          <w:szCs w:val="28"/>
        </w:rPr>
        <w:t>J</w:t>
      </w:r>
      <w:r w:rsidR="00BA3746">
        <w:rPr>
          <w:b/>
          <w:sz w:val="28"/>
          <w:szCs w:val="28"/>
        </w:rPr>
        <w:t>u</w:t>
      </w:r>
      <w:r>
        <w:rPr>
          <w:b/>
          <w:sz w:val="28"/>
          <w:szCs w:val="28"/>
        </w:rPr>
        <w:t>n</w:t>
      </w:r>
      <w:r w:rsidR="00BA3746">
        <w:rPr>
          <w:b/>
          <w:sz w:val="28"/>
          <w:szCs w:val="28"/>
        </w:rPr>
        <w:t>e 10,</w:t>
      </w:r>
      <w:r w:rsidR="00DC0636">
        <w:rPr>
          <w:b/>
          <w:sz w:val="28"/>
          <w:szCs w:val="28"/>
        </w:rPr>
        <w:t xml:space="preserve"> 201</w:t>
      </w:r>
      <w:r>
        <w:rPr>
          <w:b/>
          <w:sz w:val="28"/>
          <w:szCs w:val="28"/>
        </w:rPr>
        <w:t>4</w:t>
      </w:r>
    </w:p>
    <w:p w:rsidR="00F43D16" w:rsidRDefault="00606F11" w:rsidP="00185695">
      <w:pPr>
        <w:spacing w:after="0" w:line="240" w:lineRule="auto"/>
        <w:jc w:val="center"/>
        <w:rPr>
          <w:b/>
          <w:sz w:val="28"/>
          <w:szCs w:val="28"/>
        </w:rPr>
      </w:pPr>
      <w:hyperlink r:id="rId6" w:history="1">
        <w:r w:rsidR="00BA3746" w:rsidRPr="00856F34">
          <w:rPr>
            <w:rStyle w:val="Hyperlink"/>
            <w:b/>
            <w:sz w:val="28"/>
            <w:szCs w:val="28"/>
          </w:rPr>
          <w:t>http://raw.rutgers.edu/9fraud</w:t>
        </w:r>
      </w:hyperlink>
      <w:r w:rsidR="00F43D16" w:rsidRPr="00810E53">
        <w:rPr>
          <w:b/>
          <w:sz w:val="28"/>
          <w:szCs w:val="28"/>
        </w:rPr>
        <w:t xml:space="preserve"> </w:t>
      </w:r>
    </w:p>
    <w:p w:rsidR="00A743E1" w:rsidRPr="00810E53" w:rsidRDefault="00A743E1" w:rsidP="00185695">
      <w:pPr>
        <w:spacing w:after="0" w:line="240" w:lineRule="auto"/>
        <w:jc w:val="center"/>
        <w:rPr>
          <w:b/>
          <w:sz w:val="28"/>
          <w:szCs w:val="28"/>
        </w:rPr>
      </w:pPr>
    </w:p>
    <w:p w:rsidR="00BA7D74" w:rsidRDefault="00BA7D74" w:rsidP="00185695">
      <w:pPr>
        <w:spacing w:after="0" w:line="240" w:lineRule="auto"/>
        <w:jc w:val="center"/>
        <w:rPr>
          <w:b/>
          <w:sz w:val="24"/>
          <w:szCs w:val="24"/>
        </w:rPr>
      </w:pPr>
    </w:p>
    <w:p w:rsidR="00185695" w:rsidRPr="00810E53" w:rsidRDefault="00185695" w:rsidP="00185695">
      <w:pPr>
        <w:spacing w:after="0" w:line="240" w:lineRule="auto"/>
        <w:rPr>
          <w:sz w:val="20"/>
          <w:szCs w:val="20"/>
        </w:rPr>
      </w:pPr>
      <w:r w:rsidRPr="00810E53">
        <w:rPr>
          <w:sz w:val="20"/>
          <w:szCs w:val="20"/>
        </w:rPr>
        <w:t xml:space="preserve">The New Jersey Chapter of Association of Certified Fraud Examiners is co-sponsoring a Fraud Conference with the Rutgers Business School. This event offers a unique forum to discuss emerging issues in the area of Fraud with experts and an outstanding opportunity to earn </w:t>
      </w:r>
      <w:r w:rsidR="00D40CD5">
        <w:rPr>
          <w:sz w:val="20"/>
          <w:szCs w:val="20"/>
        </w:rPr>
        <w:t xml:space="preserve">valuable </w:t>
      </w:r>
      <w:r w:rsidRPr="00810E53">
        <w:rPr>
          <w:sz w:val="20"/>
          <w:szCs w:val="20"/>
        </w:rPr>
        <w:t xml:space="preserve">CPE credits </w:t>
      </w:r>
      <w:r w:rsidR="00D40CD5">
        <w:rPr>
          <w:sz w:val="20"/>
          <w:szCs w:val="20"/>
        </w:rPr>
        <w:t>at a reasonable</w:t>
      </w:r>
      <w:r w:rsidR="00B1174A">
        <w:rPr>
          <w:sz w:val="20"/>
          <w:szCs w:val="20"/>
        </w:rPr>
        <w:t xml:space="preserve"> price</w:t>
      </w:r>
      <w:r w:rsidR="00D40CD5">
        <w:rPr>
          <w:sz w:val="20"/>
          <w:szCs w:val="20"/>
        </w:rPr>
        <w:t xml:space="preserve">.  </w:t>
      </w:r>
      <w:r w:rsidR="002A00AB">
        <w:rPr>
          <w:sz w:val="20"/>
          <w:szCs w:val="20"/>
        </w:rPr>
        <w:t>The event will be held</w:t>
      </w:r>
      <w:r w:rsidRPr="00810E53">
        <w:rPr>
          <w:sz w:val="20"/>
          <w:szCs w:val="20"/>
        </w:rPr>
        <w:t xml:space="preserve"> on </w:t>
      </w:r>
      <w:r w:rsidR="00BA3746">
        <w:rPr>
          <w:sz w:val="20"/>
          <w:szCs w:val="20"/>
        </w:rPr>
        <w:t>Ju</w:t>
      </w:r>
      <w:r w:rsidR="009A190F">
        <w:rPr>
          <w:sz w:val="20"/>
          <w:szCs w:val="20"/>
        </w:rPr>
        <w:t>n</w:t>
      </w:r>
      <w:r w:rsidR="00BA3746">
        <w:rPr>
          <w:sz w:val="20"/>
          <w:szCs w:val="20"/>
        </w:rPr>
        <w:t>e</w:t>
      </w:r>
      <w:r w:rsidR="009A190F">
        <w:rPr>
          <w:sz w:val="20"/>
          <w:szCs w:val="20"/>
        </w:rPr>
        <w:t xml:space="preserve"> </w:t>
      </w:r>
      <w:r w:rsidR="00BA3746">
        <w:rPr>
          <w:sz w:val="20"/>
          <w:szCs w:val="20"/>
        </w:rPr>
        <w:t>10</w:t>
      </w:r>
      <w:r w:rsidR="009A190F">
        <w:rPr>
          <w:sz w:val="20"/>
          <w:szCs w:val="20"/>
        </w:rPr>
        <w:t>, 2014</w:t>
      </w:r>
      <w:r w:rsidRPr="00810E53">
        <w:rPr>
          <w:sz w:val="20"/>
          <w:szCs w:val="20"/>
        </w:rPr>
        <w:t xml:space="preserve"> at the Rutgers Business School located at One Washington Park, Room </w:t>
      </w:r>
      <w:r w:rsidR="009A190F">
        <w:rPr>
          <w:sz w:val="20"/>
          <w:szCs w:val="20"/>
        </w:rPr>
        <w:t>226</w:t>
      </w:r>
      <w:r w:rsidRPr="00810E53">
        <w:rPr>
          <w:sz w:val="20"/>
          <w:szCs w:val="20"/>
        </w:rPr>
        <w:t>, Newark, New Jersey,</w:t>
      </w:r>
      <w:r w:rsidR="00410D2F" w:rsidRPr="00810E53">
        <w:rPr>
          <w:sz w:val="20"/>
          <w:szCs w:val="20"/>
        </w:rPr>
        <w:t xml:space="preserve"> 07102,</w:t>
      </w:r>
      <w:r w:rsidRPr="00810E53">
        <w:rPr>
          <w:sz w:val="20"/>
          <w:szCs w:val="20"/>
        </w:rPr>
        <w:t xml:space="preserve"> from 8:00 am to 4:30 pm.</w:t>
      </w:r>
    </w:p>
    <w:p w:rsidR="00185695" w:rsidRPr="00810E53" w:rsidRDefault="00185695" w:rsidP="00185695">
      <w:pPr>
        <w:spacing w:after="0" w:line="240" w:lineRule="auto"/>
        <w:rPr>
          <w:sz w:val="20"/>
          <w:szCs w:val="20"/>
        </w:rPr>
      </w:pPr>
    </w:p>
    <w:p w:rsidR="00185695" w:rsidRPr="00810E53" w:rsidRDefault="00185695" w:rsidP="00185695">
      <w:pPr>
        <w:spacing w:after="0" w:line="240" w:lineRule="auto"/>
        <w:rPr>
          <w:sz w:val="20"/>
          <w:szCs w:val="20"/>
        </w:rPr>
      </w:pPr>
      <w:r w:rsidRPr="00810E53">
        <w:rPr>
          <w:sz w:val="20"/>
          <w:szCs w:val="20"/>
        </w:rPr>
        <w:t>Attendees will receive</w:t>
      </w:r>
      <w:r w:rsidR="00BA3746">
        <w:rPr>
          <w:sz w:val="20"/>
          <w:szCs w:val="20"/>
        </w:rPr>
        <w:t xml:space="preserve"> an estimated</w:t>
      </w:r>
      <w:r w:rsidRPr="00810E53">
        <w:rPr>
          <w:sz w:val="20"/>
          <w:szCs w:val="20"/>
        </w:rPr>
        <w:t xml:space="preserve"> eight (8) CPE credits </w:t>
      </w:r>
      <w:r w:rsidR="00BA3746">
        <w:rPr>
          <w:sz w:val="20"/>
          <w:szCs w:val="20"/>
        </w:rPr>
        <w:t xml:space="preserve">in Auditing </w:t>
      </w:r>
      <w:r w:rsidRPr="00810E53">
        <w:rPr>
          <w:sz w:val="20"/>
          <w:szCs w:val="20"/>
        </w:rPr>
        <w:t xml:space="preserve">for the </w:t>
      </w:r>
      <w:r w:rsidR="005D3413">
        <w:rPr>
          <w:sz w:val="20"/>
          <w:szCs w:val="20"/>
        </w:rPr>
        <w:t>Seminar</w:t>
      </w:r>
      <w:r w:rsidRPr="00810E53">
        <w:rPr>
          <w:sz w:val="20"/>
          <w:szCs w:val="20"/>
        </w:rPr>
        <w:t>.</w:t>
      </w:r>
    </w:p>
    <w:p w:rsidR="005B7855" w:rsidRDefault="005B7855" w:rsidP="00185695">
      <w:pPr>
        <w:spacing w:after="0" w:line="240" w:lineRule="auto"/>
        <w:rPr>
          <w:sz w:val="20"/>
          <w:szCs w:val="20"/>
        </w:rPr>
      </w:pPr>
      <w:r>
        <w:rPr>
          <w:sz w:val="20"/>
          <w:szCs w:val="20"/>
        </w:rPr>
        <w:t xml:space="preserve">NASBA </w:t>
      </w:r>
      <w:r w:rsidR="002A00AB">
        <w:rPr>
          <w:sz w:val="20"/>
          <w:szCs w:val="20"/>
        </w:rPr>
        <w:t>Sponsor Identification #</w:t>
      </w:r>
      <w:r>
        <w:rPr>
          <w:sz w:val="20"/>
          <w:szCs w:val="20"/>
        </w:rPr>
        <w:t>116231</w:t>
      </w:r>
    </w:p>
    <w:p w:rsidR="00185695" w:rsidRPr="00810E53" w:rsidRDefault="00185695" w:rsidP="00185695">
      <w:pPr>
        <w:spacing w:after="0" w:line="240" w:lineRule="auto"/>
        <w:rPr>
          <w:sz w:val="20"/>
          <w:szCs w:val="20"/>
        </w:rPr>
      </w:pPr>
      <w:r w:rsidRPr="00810E53">
        <w:rPr>
          <w:sz w:val="20"/>
          <w:szCs w:val="20"/>
        </w:rPr>
        <w:t>The cost for the event is as follows:</w:t>
      </w:r>
    </w:p>
    <w:p w:rsidR="00185695" w:rsidRPr="00810E53" w:rsidRDefault="00185695" w:rsidP="00185695">
      <w:pPr>
        <w:spacing w:after="0" w:line="240" w:lineRule="auto"/>
        <w:rPr>
          <w:sz w:val="20"/>
          <w:szCs w:val="20"/>
        </w:rPr>
      </w:pPr>
      <w:r w:rsidRPr="00810E53">
        <w:rPr>
          <w:sz w:val="20"/>
          <w:szCs w:val="20"/>
        </w:rPr>
        <w:t xml:space="preserve">$150 for ACFE </w:t>
      </w:r>
      <w:r w:rsidR="00DA60C0" w:rsidRPr="00810E53">
        <w:rPr>
          <w:sz w:val="20"/>
          <w:szCs w:val="20"/>
        </w:rPr>
        <w:t>/ISACA</w:t>
      </w:r>
      <w:r w:rsidR="00005704">
        <w:rPr>
          <w:sz w:val="20"/>
          <w:szCs w:val="20"/>
        </w:rPr>
        <w:t>/AGA</w:t>
      </w:r>
      <w:r w:rsidR="00DA60C0" w:rsidRPr="00810E53">
        <w:rPr>
          <w:sz w:val="20"/>
          <w:szCs w:val="20"/>
        </w:rPr>
        <w:t xml:space="preserve"> </w:t>
      </w:r>
      <w:r w:rsidRPr="00810E53">
        <w:rPr>
          <w:sz w:val="20"/>
          <w:szCs w:val="20"/>
        </w:rPr>
        <w:t>members with a minimum of 48 hours advanced reservation.</w:t>
      </w:r>
    </w:p>
    <w:p w:rsidR="00185695" w:rsidRPr="00810E53" w:rsidRDefault="00185695" w:rsidP="00185695">
      <w:pPr>
        <w:spacing w:after="0" w:line="240" w:lineRule="auto"/>
        <w:rPr>
          <w:sz w:val="20"/>
          <w:szCs w:val="20"/>
        </w:rPr>
      </w:pPr>
      <w:r w:rsidRPr="00810E53">
        <w:rPr>
          <w:sz w:val="20"/>
          <w:szCs w:val="20"/>
        </w:rPr>
        <w:t>$175 for ACFE</w:t>
      </w:r>
      <w:r w:rsidR="00DA60C0" w:rsidRPr="00810E53">
        <w:rPr>
          <w:sz w:val="20"/>
          <w:szCs w:val="20"/>
        </w:rPr>
        <w:t>/ISACA</w:t>
      </w:r>
      <w:r w:rsidR="00005704">
        <w:rPr>
          <w:sz w:val="20"/>
          <w:szCs w:val="20"/>
        </w:rPr>
        <w:t>/AGA</w:t>
      </w:r>
      <w:r w:rsidRPr="00810E53">
        <w:rPr>
          <w:sz w:val="20"/>
          <w:szCs w:val="20"/>
        </w:rPr>
        <w:t xml:space="preserve"> members with no prior reservation.</w:t>
      </w:r>
    </w:p>
    <w:p w:rsidR="00185695" w:rsidRPr="00810E53" w:rsidRDefault="00185695" w:rsidP="00185695">
      <w:pPr>
        <w:spacing w:after="0" w:line="240" w:lineRule="auto"/>
        <w:rPr>
          <w:sz w:val="20"/>
          <w:szCs w:val="20"/>
        </w:rPr>
      </w:pPr>
      <w:r w:rsidRPr="00810E53">
        <w:rPr>
          <w:sz w:val="20"/>
          <w:szCs w:val="20"/>
        </w:rPr>
        <w:t>$175 for non-ACFE</w:t>
      </w:r>
      <w:r w:rsidR="00005704">
        <w:rPr>
          <w:sz w:val="20"/>
          <w:szCs w:val="20"/>
        </w:rPr>
        <w:t>/ISACA/AGA</w:t>
      </w:r>
      <w:r w:rsidRPr="00810E53">
        <w:rPr>
          <w:sz w:val="20"/>
          <w:szCs w:val="20"/>
        </w:rPr>
        <w:t xml:space="preserve"> members with a minimum of 48 hours advanced reservation.</w:t>
      </w:r>
    </w:p>
    <w:p w:rsidR="00185695" w:rsidRPr="00810E53" w:rsidRDefault="00185695" w:rsidP="00185695">
      <w:pPr>
        <w:spacing w:after="0" w:line="240" w:lineRule="auto"/>
        <w:rPr>
          <w:sz w:val="20"/>
          <w:szCs w:val="20"/>
        </w:rPr>
      </w:pPr>
      <w:r w:rsidRPr="00810E53">
        <w:rPr>
          <w:sz w:val="20"/>
          <w:szCs w:val="20"/>
        </w:rPr>
        <w:t>$200 for non-ACFE</w:t>
      </w:r>
      <w:r w:rsidR="00005704">
        <w:rPr>
          <w:sz w:val="20"/>
          <w:szCs w:val="20"/>
        </w:rPr>
        <w:t>/ISACA/AGA</w:t>
      </w:r>
      <w:r w:rsidRPr="00810E53">
        <w:rPr>
          <w:sz w:val="20"/>
          <w:szCs w:val="20"/>
        </w:rPr>
        <w:t xml:space="preserve"> members with no prior reservation. </w:t>
      </w:r>
    </w:p>
    <w:p w:rsidR="00672ECE" w:rsidRPr="00810E53" w:rsidRDefault="00672ECE" w:rsidP="00185695">
      <w:pPr>
        <w:spacing w:after="0" w:line="240" w:lineRule="auto"/>
        <w:rPr>
          <w:sz w:val="20"/>
          <w:szCs w:val="20"/>
        </w:rPr>
      </w:pPr>
    </w:p>
    <w:p w:rsidR="00672ECE" w:rsidRDefault="00672ECE" w:rsidP="00185695">
      <w:pPr>
        <w:spacing w:after="0" w:line="240" w:lineRule="auto"/>
        <w:rPr>
          <w:rStyle w:val="Hyperlink"/>
          <w:sz w:val="20"/>
          <w:szCs w:val="20"/>
        </w:rPr>
      </w:pPr>
      <w:r w:rsidRPr="00810E53">
        <w:rPr>
          <w:sz w:val="20"/>
          <w:szCs w:val="20"/>
        </w:rPr>
        <w:t xml:space="preserve">All checks will be collected at the door and should be made payable to “Rutgers-The State University”. No credits cards will be accepted. To make a reservation, email the attached registration form to Professor Karl Dahlberg, Rutgers Business School, </w:t>
      </w:r>
      <w:proofErr w:type="gramStart"/>
      <w:r w:rsidRPr="00810E53">
        <w:rPr>
          <w:sz w:val="20"/>
          <w:szCs w:val="20"/>
        </w:rPr>
        <w:t xml:space="preserve">Department of Accounting &amp; Information Systems at </w:t>
      </w:r>
      <w:hyperlink r:id="rId7" w:history="1">
        <w:r w:rsidRPr="00810E53">
          <w:rPr>
            <w:rStyle w:val="Hyperlink"/>
            <w:sz w:val="20"/>
            <w:szCs w:val="20"/>
          </w:rPr>
          <w:t>Dahlberg@andromeda.rutgers.edu</w:t>
        </w:r>
        <w:proofErr w:type="gramEnd"/>
      </w:hyperlink>
    </w:p>
    <w:p w:rsidR="00672ECE" w:rsidRPr="00810E53" w:rsidRDefault="00672ECE" w:rsidP="00185695">
      <w:pPr>
        <w:spacing w:after="0" w:line="240" w:lineRule="auto"/>
        <w:rPr>
          <w:sz w:val="20"/>
          <w:szCs w:val="20"/>
        </w:rPr>
      </w:pPr>
    </w:p>
    <w:p w:rsidR="003C5734" w:rsidRDefault="003C5734" w:rsidP="00185695">
      <w:pPr>
        <w:spacing w:after="0" w:line="240" w:lineRule="auto"/>
        <w:rPr>
          <w:rFonts w:ascii="Cambria Math" w:hAnsi="Cambria Math"/>
          <w:sz w:val="20"/>
          <w:szCs w:val="20"/>
        </w:rPr>
      </w:pPr>
      <w:r>
        <w:rPr>
          <w:rFonts w:ascii="Cambria Math" w:hAnsi="Cambria Math"/>
          <w:sz w:val="20"/>
          <w:szCs w:val="20"/>
        </w:rPr>
        <w:t>Intended audience: CPAs, Fraud Examiners, and professionals with an interest in ethics, fraud and computer systems.</w:t>
      </w:r>
    </w:p>
    <w:p w:rsidR="003C5734" w:rsidRDefault="003C5734" w:rsidP="00185695">
      <w:pPr>
        <w:spacing w:after="0" w:line="240" w:lineRule="auto"/>
        <w:rPr>
          <w:rFonts w:ascii="Cambria Math" w:hAnsi="Cambria Math"/>
          <w:sz w:val="20"/>
          <w:szCs w:val="20"/>
        </w:rPr>
      </w:pPr>
    </w:p>
    <w:p w:rsidR="002A00AB" w:rsidRDefault="002A00AB" w:rsidP="00185695">
      <w:pPr>
        <w:spacing w:after="0" w:line="240" w:lineRule="auto"/>
        <w:rPr>
          <w:rFonts w:ascii="Cambria Math" w:hAnsi="Cambria Math"/>
          <w:sz w:val="20"/>
          <w:szCs w:val="20"/>
        </w:rPr>
      </w:pPr>
      <w:r>
        <w:rPr>
          <w:rFonts w:ascii="Cambria Math" w:hAnsi="Cambria Math"/>
          <w:sz w:val="20"/>
          <w:szCs w:val="20"/>
        </w:rPr>
        <w:t>Program description: the program consists of professionally qualified speakers presenting various topics of current interest to the profession.</w:t>
      </w:r>
    </w:p>
    <w:p w:rsidR="002A00AB" w:rsidRDefault="002A00AB" w:rsidP="00185695">
      <w:pPr>
        <w:spacing w:after="0" w:line="240" w:lineRule="auto"/>
        <w:rPr>
          <w:rFonts w:ascii="Cambria Math" w:hAnsi="Cambria Math"/>
          <w:sz w:val="20"/>
          <w:szCs w:val="20"/>
        </w:rPr>
      </w:pPr>
    </w:p>
    <w:p w:rsidR="002A00AB" w:rsidRDefault="002A00AB" w:rsidP="00185695">
      <w:pPr>
        <w:spacing w:after="0" w:line="240" w:lineRule="auto"/>
        <w:rPr>
          <w:rFonts w:ascii="Cambria Math" w:hAnsi="Cambria Math"/>
          <w:sz w:val="20"/>
          <w:szCs w:val="20"/>
        </w:rPr>
      </w:pPr>
      <w:r>
        <w:rPr>
          <w:rFonts w:ascii="Cambria Math" w:hAnsi="Cambria Math"/>
          <w:sz w:val="20"/>
          <w:szCs w:val="20"/>
        </w:rPr>
        <w:t>Learning objectives: to provide updated information in the following areas</w:t>
      </w:r>
    </w:p>
    <w:p w:rsidR="00F319CF" w:rsidRDefault="00F319CF" w:rsidP="00185695">
      <w:pPr>
        <w:spacing w:after="0" w:line="240" w:lineRule="auto"/>
        <w:rPr>
          <w:rFonts w:ascii="Cambria Math" w:hAnsi="Cambria Math"/>
          <w:sz w:val="20"/>
          <w:szCs w:val="20"/>
        </w:rPr>
      </w:pPr>
    </w:p>
    <w:p w:rsidR="002A00AB" w:rsidRDefault="00BA3746" w:rsidP="002A00AB">
      <w:pPr>
        <w:pStyle w:val="ListParagraph"/>
        <w:numPr>
          <w:ilvl w:val="0"/>
          <w:numId w:val="4"/>
        </w:numPr>
        <w:spacing w:after="0" w:line="240" w:lineRule="auto"/>
        <w:rPr>
          <w:rFonts w:ascii="Cambria Math" w:hAnsi="Cambria Math"/>
          <w:sz w:val="20"/>
          <w:szCs w:val="20"/>
        </w:rPr>
      </w:pPr>
      <w:r>
        <w:rPr>
          <w:rFonts w:ascii="Cambria Math" w:hAnsi="Cambria Math"/>
          <w:sz w:val="20"/>
          <w:szCs w:val="20"/>
        </w:rPr>
        <w:t>Computer Forensics 101</w:t>
      </w:r>
    </w:p>
    <w:p w:rsidR="00C65E34" w:rsidRDefault="00C65E34" w:rsidP="00C65E34">
      <w:pPr>
        <w:pStyle w:val="ListParagraph"/>
        <w:numPr>
          <w:ilvl w:val="1"/>
          <w:numId w:val="4"/>
        </w:numPr>
        <w:spacing w:after="0" w:line="240" w:lineRule="auto"/>
        <w:rPr>
          <w:rFonts w:ascii="Cambria Math" w:hAnsi="Cambria Math"/>
          <w:sz w:val="20"/>
          <w:szCs w:val="20"/>
        </w:rPr>
      </w:pPr>
      <w:r>
        <w:rPr>
          <w:rFonts w:ascii="Cambria Math" w:hAnsi="Cambria Math"/>
          <w:sz w:val="20"/>
          <w:szCs w:val="20"/>
        </w:rPr>
        <w:t>Computer Forensics Process Overview</w:t>
      </w:r>
    </w:p>
    <w:p w:rsidR="00C65E34" w:rsidRDefault="00C65E34" w:rsidP="00C65E34">
      <w:pPr>
        <w:pStyle w:val="ListParagraph"/>
        <w:numPr>
          <w:ilvl w:val="1"/>
          <w:numId w:val="4"/>
        </w:numPr>
        <w:spacing w:after="0" w:line="240" w:lineRule="auto"/>
        <w:rPr>
          <w:rFonts w:ascii="Cambria Math" w:hAnsi="Cambria Math"/>
          <w:sz w:val="20"/>
          <w:szCs w:val="20"/>
        </w:rPr>
      </w:pPr>
      <w:r>
        <w:rPr>
          <w:rFonts w:ascii="Cambria Math" w:hAnsi="Cambria Math"/>
          <w:sz w:val="20"/>
          <w:szCs w:val="20"/>
        </w:rPr>
        <w:t>Forensic Analysis Concepts</w:t>
      </w:r>
    </w:p>
    <w:p w:rsidR="00C65E34" w:rsidRDefault="00C65E34" w:rsidP="00C65E34">
      <w:pPr>
        <w:pStyle w:val="ListParagraph"/>
        <w:numPr>
          <w:ilvl w:val="2"/>
          <w:numId w:val="4"/>
        </w:numPr>
        <w:spacing w:after="0" w:line="240" w:lineRule="auto"/>
        <w:rPr>
          <w:rFonts w:ascii="Cambria Math" w:hAnsi="Cambria Math"/>
          <w:sz w:val="20"/>
          <w:szCs w:val="20"/>
        </w:rPr>
      </w:pPr>
      <w:r>
        <w:rPr>
          <w:rFonts w:ascii="Cambria Math" w:hAnsi="Cambria Math"/>
          <w:sz w:val="20"/>
          <w:szCs w:val="20"/>
        </w:rPr>
        <w:t>File deletion and recovery</w:t>
      </w:r>
    </w:p>
    <w:p w:rsidR="00C65E34" w:rsidRDefault="00C65E34" w:rsidP="00C65E34">
      <w:pPr>
        <w:pStyle w:val="ListParagraph"/>
        <w:numPr>
          <w:ilvl w:val="2"/>
          <w:numId w:val="4"/>
        </w:numPr>
        <w:spacing w:after="0" w:line="240" w:lineRule="auto"/>
        <w:rPr>
          <w:rFonts w:ascii="Cambria Math" w:hAnsi="Cambria Math"/>
          <w:sz w:val="20"/>
          <w:szCs w:val="20"/>
        </w:rPr>
      </w:pPr>
      <w:r>
        <w:rPr>
          <w:rFonts w:ascii="Cambria Math" w:hAnsi="Cambria Math"/>
          <w:sz w:val="20"/>
          <w:szCs w:val="20"/>
        </w:rPr>
        <w:t>Unallocated space/slack space</w:t>
      </w:r>
    </w:p>
    <w:p w:rsidR="00C65E34" w:rsidRDefault="00C65E34" w:rsidP="00C65E34">
      <w:pPr>
        <w:pStyle w:val="ListParagraph"/>
        <w:numPr>
          <w:ilvl w:val="2"/>
          <w:numId w:val="4"/>
        </w:numPr>
        <w:spacing w:after="0" w:line="240" w:lineRule="auto"/>
        <w:rPr>
          <w:rFonts w:ascii="Cambria Math" w:hAnsi="Cambria Math"/>
          <w:sz w:val="20"/>
          <w:szCs w:val="20"/>
        </w:rPr>
      </w:pPr>
      <w:r>
        <w:rPr>
          <w:rFonts w:ascii="Cambria Math" w:hAnsi="Cambria Math"/>
          <w:sz w:val="20"/>
          <w:szCs w:val="20"/>
        </w:rPr>
        <w:t>Artifacts of interest for investigators</w:t>
      </w:r>
    </w:p>
    <w:p w:rsidR="00C65E34" w:rsidRDefault="00C65E34" w:rsidP="00C65E34">
      <w:pPr>
        <w:pStyle w:val="ListParagraph"/>
        <w:numPr>
          <w:ilvl w:val="1"/>
          <w:numId w:val="4"/>
        </w:numPr>
        <w:spacing w:after="0" w:line="240" w:lineRule="auto"/>
        <w:rPr>
          <w:rFonts w:ascii="Cambria Math" w:hAnsi="Cambria Math"/>
          <w:sz w:val="20"/>
          <w:szCs w:val="20"/>
        </w:rPr>
      </w:pPr>
      <w:r>
        <w:rPr>
          <w:rFonts w:ascii="Cambria Math" w:hAnsi="Cambria Math"/>
          <w:sz w:val="20"/>
          <w:szCs w:val="20"/>
        </w:rPr>
        <w:t>Incident Response Concepts</w:t>
      </w:r>
    </w:p>
    <w:p w:rsidR="00C65E34" w:rsidRDefault="00C65E34" w:rsidP="00C65E34">
      <w:pPr>
        <w:pStyle w:val="ListParagraph"/>
        <w:numPr>
          <w:ilvl w:val="2"/>
          <w:numId w:val="4"/>
        </w:numPr>
        <w:spacing w:after="0" w:line="240" w:lineRule="auto"/>
        <w:rPr>
          <w:rFonts w:ascii="Cambria Math" w:hAnsi="Cambria Math"/>
          <w:sz w:val="20"/>
          <w:szCs w:val="20"/>
        </w:rPr>
      </w:pPr>
      <w:r>
        <w:rPr>
          <w:rFonts w:ascii="Cambria Math" w:hAnsi="Cambria Math"/>
          <w:sz w:val="20"/>
          <w:szCs w:val="20"/>
        </w:rPr>
        <w:t>Incident response life cycle</w:t>
      </w:r>
    </w:p>
    <w:p w:rsidR="00C65E34" w:rsidRDefault="00C65E34" w:rsidP="00C65E34">
      <w:pPr>
        <w:pStyle w:val="ListParagraph"/>
        <w:numPr>
          <w:ilvl w:val="2"/>
          <w:numId w:val="4"/>
        </w:numPr>
        <w:spacing w:after="0" w:line="240" w:lineRule="auto"/>
        <w:rPr>
          <w:rFonts w:ascii="Cambria Math" w:hAnsi="Cambria Math"/>
          <w:sz w:val="20"/>
          <w:szCs w:val="20"/>
        </w:rPr>
      </w:pPr>
      <w:r>
        <w:rPr>
          <w:rFonts w:ascii="Cambria Math" w:hAnsi="Cambria Math"/>
          <w:sz w:val="20"/>
          <w:szCs w:val="20"/>
        </w:rPr>
        <w:t>Computer forensics in support of incident response</w:t>
      </w:r>
    </w:p>
    <w:p w:rsidR="00C65E34" w:rsidRDefault="00C65E34" w:rsidP="00C65E34">
      <w:pPr>
        <w:pStyle w:val="ListParagraph"/>
        <w:numPr>
          <w:ilvl w:val="1"/>
          <w:numId w:val="4"/>
        </w:numPr>
        <w:spacing w:after="0" w:line="240" w:lineRule="auto"/>
        <w:rPr>
          <w:rFonts w:ascii="Cambria Math" w:hAnsi="Cambria Math"/>
          <w:sz w:val="20"/>
          <w:szCs w:val="20"/>
        </w:rPr>
      </w:pPr>
      <w:r>
        <w:rPr>
          <w:rFonts w:ascii="Cambria Math" w:hAnsi="Cambria Math"/>
          <w:sz w:val="20"/>
          <w:szCs w:val="20"/>
        </w:rPr>
        <w:t>Case Studies</w:t>
      </w:r>
    </w:p>
    <w:p w:rsidR="00C65E34" w:rsidRDefault="00C65E34" w:rsidP="00C65E34">
      <w:pPr>
        <w:pStyle w:val="ListParagraph"/>
        <w:numPr>
          <w:ilvl w:val="1"/>
          <w:numId w:val="4"/>
        </w:numPr>
        <w:spacing w:after="0" w:line="240" w:lineRule="auto"/>
        <w:rPr>
          <w:rFonts w:ascii="Cambria Math" w:hAnsi="Cambria Math"/>
          <w:sz w:val="20"/>
          <w:szCs w:val="20"/>
        </w:rPr>
      </w:pPr>
      <w:r>
        <w:rPr>
          <w:rFonts w:ascii="Cambria Math" w:hAnsi="Cambria Math"/>
          <w:sz w:val="20"/>
          <w:szCs w:val="20"/>
        </w:rPr>
        <w:t>Challenges and Opportunities</w:t>
      </w:r>
    </w:p>
    <w:p w:rsidR="00F319CF" w:rsidRPr="002A00AB" w:rsidRDefault="00F319CF" w:rsidP="00F319CF">
      <w:pPr>
        <w:pStyle w:val="ListParagraph"/>
        <w:spacing w:after="0" w:line="240" w:lineRule="auto"/>
        <w:ind w:left="1440"/>
        <w:rPr>
          <w:rFonts w:ascii="Cambria Math" w:hAnsi="Cambria Math"/>
          <w:sz w:val="20"/>
          <w:szCs w:val="20"/>
        </w:rPr>
      </w:pPr>
    </w:p>
    <w:p w:rsidR="005E21A1" w:rsidRDefault="004817F4" w:rsidP="002A00AB">
      <w:pPr>
        <w:pStyle w:val="ListParagraph"/>
        <w:numPr>
          <w:ilvl w:val="0"/>
          <w:numId w:val="4"/>
        </w:numPr>
        <w:spacing w:after="0" w:line="240" w:lineRule="auto"/>
        <w:rPr>
          <w:rFonts w:ascii="Cambria Math" w:hAnsi="Cambria Math"/>
          <w:sz w:val="20"/>
          <w:szCs w:val="20"/>
        </w:rPr>
      </w:pPr>
      <w:r>
        <w:rPr>
          <w:rFonts w:ascii="Cambria Math" w:hAnsi="Cambria Math"/>
          <w:sz w:val="20"/>
          <w:szCs w:val="20"/>
        </w:rPr>
        <w:t>Money L</w:t>
      </w:r>
      <w:r w:rsidR="002A00AB" w:rsidRPr="002A00AB">
        <w:rPr>
          <w:rFonts w:ascii="Cambria Math" w:hAnsi="Cambria Math"/>
          <w:sz w:val="20"/>
          <w:szCs w:val="20"/>
        </w:rPr>
        <w:t>aundering</w:t>
      </w:r>
      <w:r w:rsidR="005E21A1">
        <w:rPr>
          <w:rFonts w:ascii="Cambria Math" w:hAnsi="Cambria Math"/>
          <w:sz w:val="20"/>
          <w:szCs w:val="20"/>
        </w:rPr>
        <w:t xml:space="preserve"> Statutes and Cases</w:t>
      </w:r>
    </w:p>
    <w:p w:rsidR="00F319CF" w:rsidRPr="005F3BC2" w:rsidRDefault="005F3BC2" w:rsidP="002A00AB">
      <w:pPr>
        <w:pStyle w:val="ListParagraph"/>
        <w:numPr>
          <w:ilvl w:val="0"/>
          <w:numId w:val="4"/>
        </w:numPr>
        <w:spacing w:after="0" w:line="240" w:lineRule="auto"/>
        <w:rPr>
          <w:rFonts w:ascii="Cambria Math" w:hAnsi="Cambria Math"/>
          <w:sz w:val="20"/>
          <w:szCs w:val="20"/>
          <w:highlight w:val="yellow"/>
        </w:rPr>
      </w:pPr>
      <w:r w:rsidRPr="005F3BC2">
        <w:rPr>
          <w:rFonts w:ascii="Cambria Math" w:hAnsi="Cambria Math"/>
          <w:sz w:val="20"/>
          <w:szCs w:val="20"/>
          <w:highlight w:val="yellow"/>
        </w:rPr>
        <w:t>??????????</w:t>
      </w:r>
    </w:p>
    <w:p w:rsidR="005E21A1" w:rsidRDefault="005E21A1" w:rsidP="00F319CF">
      <w:pPr>
        <w:pStyle w:val="ListParagraph"/>
        <w:spacing w:after="0" w:line="240" w:lineRule="auto"/>
        <w:rPr>
          <w:rFonts w:ascii="Cambria Math" w:hAnsi="Cambria Math"/>
          <w:sz w:val="20"/>
          <w:szCs w:val="20"/>
        </w:rPr>
      </w:pPr>
    </w:p>
    <w:p w:rsidR="00C65E34" w:rsidRPr="005E21A1" w:rsidRDefault="005E21A1" w:rsidP="005E21A1">
      <w:pPr>
        <w:pStyle w:val="ListParagraph"/>
        <w:numPr>
          <w:ilvl w:val="0"/>
          <w:numId w:val="4"/>
        </w:numPr>
        <w:spacing w:after="0" w:line="240" w:lineRule="auto"/>
        <w:rPr>
          <w:rFonts w:ascii="Cambria Math" w:hAnsi="Cambria Math"/>
          <w:sz w:val="20"/>
          <w:szCs w:val="20"/>
        </w:rPr>
      </w:pPr>
      <w:r>
        <w:rPr>
          <w:rFonts w:ascii="Cambria Math" w:hAnsi="Cambria Math"/>
          <w:sz w:val="20"/>
          <w:szCs w:val="20"/>
        </w:rPr>
        <w:lastRenderedPageBreak/>
        <w:t xml:space="preserve"> Bulk Cash Smuggling</w:t>
      </w:r>
    </w:p>
    <w:p w:rsidR="005E21A1" w:rsidRDefault="005E21A1" w:rsidP="005E21A1">
      <w:pPr>
        <w:pStyle w:val="ListParagraph"/>
        <w:numPr>
          <w:ilvl w:val="1"/>
          <w:numId w:val="4"/>
        </w:numPr>
        <w:spacing w:after="0" w:line="240" w:lineRule="auto"/>
        <w:rPr>
          <w:rFonts w:ascii="Cambria Math" w:hAnsi="Cambria Math"/>
          <w:sz w:val="20"/>
          <w:szCs w:val="20"/>
        </w:rPr>
      </w:pPr>
      <w:r>
        <w:rPr>
          <w:rFonts w:ascii="Cambria Math" w:hAnsi="Cambria Math"/>
          <w:sz w:val="20"/>
          <w:szCs w:val="20"/>
        </w:rPr>
        <w:t>Methodologies</w:t>
      </w:r>
    </w:p>
    <w:p w:rsidR="005E21A1" w:rsidRDefault="005E21A1" w:rsidP="005E21A1">
      <w:pPr>
        <w:pStyle w:val="ListParagraph"/>
        <w:numPr>
          <w:ilvl w:val="1"/>
          <w:numId w:val="4"/>
        </w:numPr>
        <w:spacing w:after="0" w:line="240" w:lineRule="auto"/>
        <w:rPr>
          <w:rFonts w:ascii="Cambria Math" w:hAnsi="Cambria Math"/>
          <w:sz w:val="20"/>
          <w:szCs w:val="20"/>
        </w:rPr>
      </w:pPr>
      <w:r>
        <w:rPr>
          <w:rFonts w:ascii="Cambria Math" w:hAnsi="Cambria Math"/>
          <w:sz w:val="20"/>
          <w:szCs w:val="20"/>
        </w:rPr>
        <w:t>Cases and statutes</w:t>
      </w:r>
    </w:p>
    <w:p w:rsidR="005E21A1" w:rsidRPr="005E21A1" w:rsidRDefault="005E21A1" w:rsidP="005E21A1">
      <w:pPr>
        <w:pStyle w:val="ListParagraph"/>
        <w:numPr>
          <w:ilvl w:val="1"/>
          <w:numId w:val="4"/>
        </w:numPr>
        <w:spacing w:after="0" w:line="240" w:lineRule="auto"/>
        <w:rPr>
          <w:rFonts w:ascii="Cambria Math" w:hAnsi="Cambria Math"/>
          <w:sz w:val="20"/>
          <w:szCs w:val="20"/>
        </w:rPr>
      </w:pPr>
      <w:r w:rsidRPr="005E21A1">
        <w:rPr>
          <w:rFonts w:ascii="Cambria Math" w:hAnsi="Cambria Math"/>
          <w:sz w:val="20"/>
          <w:szCs w:val="20"/>
        </w:rPr>
        <w:t xml:space="preserve">Casas de </w:t>
      </w:r>
      <w:proofErr w:type="spellStart"/>
      <w:r w:rsidRPr="005E21A1">
        <w:rPr>
          <w:rFonts w:ascii="Cambria Math" w:hAnsi="Cambria Math"/>
          <w:sz w:val="20"/>
          <w:szCs w:val="20"/>
        </w:rPr>
        <w:t>Cambio</w:t>
      </w:r>
      <w:proofErr w:type="spellEnd"/>
    </w:p>
    <w:p w:rsidR="005E21A1" w:rsidRDefault="005E21A1" w:rsidP="005E21A1">
      <w:pPr>
        <w:pStyle w:val="ListParagraph"/>
        <w:numPr>
          <w:ilvl w:val="1"/>
          <w:numId w:val="4"/>
        </w:numPr>
        <w:spacing w:after="0" w:line="240" w:lineRule="auto"/>
        <w:rPr>
          <w:rFonts w:ascii="Cambria Math" w:hAnsi="Cambria Math"/>
          <w:sz w:val="20"/>
          <w:szCs w:val="20"/>
        </w:rPr>
      </w:pPr>
      <w:r>
        <w:rPr>
          <w:rFonts w:ascii="Cambria Math" w:hAnsi="Cambria Math"/>
          <w:sz w:val="20"/>
          <w:szCs w:val="20"/>
        </w:rPr>
        <w:t>Correspondent banking</w:t>
      </w:r>
    </w:p>
    <w:p w:rsidR="005E21A1" w:rsidRDefault="005E21A1" w:rsidP="005E21A1">
      <w:pPr>
        <w:pStyle w:val="ListParagraph"/>
        <w:numPr>
          <w:ilvl w:val="1"/>
          <w:numId w:val="4"/>
        </w:numPr>
        <w:spacing w:after="0" w:line="240" w:lineRule="auto"/>
        <w:rPr>
          <w:rFonts w:ascii="Cambria Math" w:hAnsi="Cambria Math"/>
          <w:sz w:val="20"/>
          <w:szCs w:val="20"/>
        </w:rPr>
      </w:pPr>
      <w:r>
        <w:rPr>
          <w:rFonts w:ascii="Cambria Math" w:hAnsi="Cambria Math"/>
          <w:sz w:val="20"/>
          <w:szCs w:val="20"/>
        </w:rPr>
        <w:t>Monetary instruments</w:t>
      </w:r>
    </w:p>
    <w:p w:rsidR="005E21A1" w:rsidRDefault="005E21A1" w:rsidP="005E21A1">
      <w:pPr>
        <w:pStyle w:val="ListParagraph"/>
        <w:numPr>
          <w:ilvl w:val="1"/>
          <w:numId w:val="4"/>
        </w:numPr>
        <w:spacing w:after="0" w:line="240" w:lineRule="auto"/>
        <w:rPr>
          <w:rFonts w:ascii="Cambria Math" w:hAnsi="Cambria Math"/>
          <w:sz w:val="20"/>
          <w:szCs w:val="20"/>
        </w:rPr>
      </w:pPr>
      <w:r>
        <w:rPr>
          <w:rFonts w:ascii="Cambria Math" w:hAnsi="Cambria Math"/>
          <w:sz w:val="20"/>
          <w:szCs w:val="20"/>
        </w:rPr>
        <w:t>Red flags of suspicious behavior</w:t>
      </w:r>
    </w:p>
    <w:p w:rsidR="005E21A1" w:rsidRDefault="005E21A1" w:rsidP="005E21A1">
      <w:pPr>
        <w:pStyle w:val="ListParagraph"/>
        <w:numPr>
          <w:ilvl w:val="1"/>
          <w:numId w:val="4"/>
        </w:numPr>
        <w:spacing w:after="0" w:line="240" w:lineRule="auto"/>
        <w:rPr>
          <w:rFonts w:ascii="Cambria Math" w:hAnsi="Cambria Math"/>
          <w:sz w:val="20"/>
          <w:szCs w:val="20"/>
        </w:rPr>
      </w:pPr>
      <w:r>
        <w:rPr>
          <w:rFonts w:ascii="Cambria Math" w:hAnsi="Cambria Math"/>
          <w:sz w:val="20"/>
          <w:szCs w:val="20"/>
        </w:rPr>
        <w:t>Black market peso exchange</w:t>
      </w:r>
    </w:p>
    <w:p w:rsidR="005E21A1" w:rsidRPr="005E21A1" w:rsidRDefault="005E21A1" w:rsidP="005E21A1">
      <w:pPr>
        <w:spacing w:after="0" w:line="240" w:lineRule="auto"/>
        <w:rPr>
          <w:rFonts w:ascii="Cambria Math" w:hAnsi="Cambria Math"/>
          <w:sz w:val="20"/>
          <w:szCs w:val="20"/>
        </w:rPr>
      </w:pPr>
    </w:p>
    <w:p w:rsidR="002A00AB" w:rsidRDefault="002A00AB" w:rsidP="00185695">
      <w:pPr>
        <w:spacing w:after="0" w:line="240" w:lineRule="auto"/>
        <w:rPr>
          <w:rFonts w:ascii="Cambria Math" w:hAnsi="Cambria Math"/>
          <w:sz w:val="20"/>
          <w:szCs w:val="20"/>
        </w:rPr>
      </w:pPr>
    </w:p>
    <w:p w:rsidR="002A00AB" w:rsidRDefault="00B55269" w:rsidP="00185695">
      <w:pPr>
        <w:spacing w:after="0" w:line="240" w:lineRule="auto"/>
        <w:rPr>
          <w:rFonts w:ascii="Cambria Math" w:hAnsi="Cambria Math"/>
          <w:sz w:val="20"/>
          <w:szCs w:val="20"/>
        </w:rPr>
      </w:pPr>
      <w:r>
        <w:rPr>
          <w:rFonts w:ascii="Cambria Math" w:hAnsi="Cambria Math"/>
          <w:sz w:val="20"/>
          <w:szCs w:val="20"/>
        </w:rPr>
        <w:t xml:space="preserve">Delivery method: </w:t>
      </w:r>
      <w:r w:rsidR="00050A33">
        <w:rPr>
          <w:rFonts w:ascii="Cambria Math" w:hAnsi="Cambria Math"/>
          <w:sz w:val="20"/>
          <w:szCs w:val="20"/>
        </w:rPr>
        <w:t xml:space="preserve">group </w:t>
      </w:r>
      <w:r>
        <w:rPr>
          <w:rFonts w:ascii="Cambria Math" w:hAnsi="Cambria Math"/>
          <w:sz w:val="20"/>
          <w:szCs w:val="20"/>
        </w:rPr>
        <w:t>live</w:t>
      </w:r>
    </w:p>
    <w:p w:rsidR="009A190F" w:rsidRDefault="009A190F" w:rsidP="00185695">
      <w:pPr>
        <w:spacing w:after="0" w:line="240" w:lineRule="auto"/>
        <w:rPr>
          <w:rFonts w:ascii="Cambria Math" w:hAnsi="Cambria Math"/>
          <w:sz w:val="20"/>
          <w:szCs w:val="20"/>
        </w:rPr>
      </w:pPr>
      <w:r>
        <w:rPr>
          <w:rFonts w:ascii="Cambria Math" w:hAnsi="Cambria Math"/>
          <w:sz w:val="20"/>
          <w:szCs w:val="20"/>
        </w:rPr>
        <w:t>Program level: update</w:t>
      </w:r>
    </w:p>
    <w:p w:rsidR="009A190F" w:rsidRDefault="009A190F" w:rsidP="00185695">
      <w:pPr>
        <w:spacing w:after="0" w:line="240" w:lineRule="auto"/>
        <w:rPr>
          <w:rFonts w:ascii="Cambria Math" w:hAnsi="Cambria Math"/>
          <w:sz w:val="20"/>
          <w:szCs w:val="20"/>
        </w:rPr>
      </w:pPr>
      <w:r>
        <w:rPr>
          <w:rFonts w:ascii="Cambria Math" w:hAnsi="Cambria Math"/>
          <w:sz w:val="20"/>
          <w:szCs w:val="20"/>
        </w:rPr>
        <w:t>Prerequisites:  none</w:t>
      </w:r>
    </w:p>
    <w:p w:rsidR="009A190F" w:rsidRDefault="009A190F" w:rsidP="00185695">
      <w:pPr>
        <w:spacing w:after="0" w:line="240" w:lineRule="auto"/>
        <w:rPr>
          <w:rFonts w:ascii="Cambria Math" w:hAnsi="Cambria Math"/>
          <w:sz w:val="20"/>
          <w:szCs w:val="20"/>
        </w:rPr>
      </w:pPr>
      <w:r>
        <w:rPr>
          <w:rFonts w:ascii="Cambria Math" w:hAnsi="Cambria Math"/>
          <w:sz w:val="20"/>
          <w:szCs w:val="20"/>
        </w:rPr>
        <w:t>Advance preparation: none</w:t>
      </w:r>
    </w:p>
    <w:p w:rsidR="009A190F" w:rsidRDefault="009A190F" w:rsidP="00185695">
      <w:pPr>
        <w:spacing w:after="0" w:line="240" w:lineRule="auto"/>
        <w:rPr>
          <w:rFonts w:ascii="Cambria Math" w:hAnsi="Cambria Math"/>
          <w:sz w:val="20"/>
          <w:szCs w:val="20"/>
        </w:rPr>
      </w:pPr>
      <w:r>
        <w:rPr>
          <w:rFonts w:ascii="Cambria Math" w:hAnsi="Cambria Math"/>
          <w:sz w:val="20"/>
          <w:szCs w:val="20"/>
        </w:rPr>
        <w:t>Refund policy: 100% refund if cancelled at least 48 hours prior to the event</w:t>
      </w:r>
    </w:p>
    <w:p w:rsidR="009A190F" w:rsidRDefault="009A190F" w:rsidP="00185695">
      <w:pPr>
        <w:spacing w:after="0" w:line="240" w:lineRule="auto"/>
        <w:rPr>
          <w:rFonts w:ascii="Cambria Math" w:hAnsi="Cambria Math"/>
          <w:sz w:val="20"/>
          <w:szCs w:val="20"/>
        </w:rPr>
      </w:pPr>
      <w:r>
        <w:rPr>
          <w:rFonts w:ascii="Cambria Math" w:hAnsi="Cambria Math"/>
          <w:sz w:val="20"/>
          <w:szCs w:val="20"/>
        </w:rPr>
        <w:t>Complaint resolution: complaints will be resolved by the Rutgers Accounting Research Center</w:t>
      </w:r>
    </w:p>
    <w:p w:rsidR="009A190F" w:rsidRDefault="009A190F" w:rsidP="00185695">
      <w:pPr>
        <w:spacing w:after="0" w:line="240" w:lineRule="auto"/>
        <w:rPr>
          <w:rFonts w:ascii="Cambria Math" w:hAnsi="Cambria Math"/>
          <w:sz w:val="20"/>
          <w:szCs w:val="20"/>
        </w:rPr>
      </w:pPr>
    </w:p>
    <w:p w:rsidR="002A00AB" w:rsidRDefault="002A00AB" w:rsidP="00185695">
      <w:pPr>
        <w:spacing w:after="0" w:line="240" w:lineRule="auto"/>
        <w:rPr>
          <w:rFonts w:ascii="Cambria Math" w:hAnsi="Cambria Math"/>
          <w:sz w:val="20"/>
          <w:szCs w:val="20"/>
        </w:rPr>
      </w:pPr>
      <w:r>
        <w:rPr>
          <w:rFonts w:ascii="Cambria Math" w:hAnsi="Cambria Math"/>
          <w:sz w:val="20"/>
          <w:szCs w:val="20"/>
        </w:rPr>
        <w:t xml:space="preserve">Rutgers Business School is registered with the National Association of State Boards of Accountancy (NASBA) as a sponsor of continuing professional education on the National Registry of CPE Sponsors. State boards of accountancy have final authority on the acceptance of individual courses for CPE credit. Complaints regarding registered sponsors may be submitted to the National Registry of CPE Sponsors through this website: </w:t>
      </w:r>
      <w:hyperlink r:id="rId8" w:history="1">
        <w:r w:rsidRPr="001E055E">
          <w:rPr>
            <w:rStyle w:val="Hyperlink"/>
            <w:rFonts w:ascii="Cambria Math" w:hAnsi="Cambria Math"/>
            <w:sz w:val="20"/>
            <w:szCs w:val="20"/>
          </w:rPr>
          <w:t>www.learningmarket.org</w:t>
        </w:r>
      </w:hyperlink>
      <w:r>
        <w:rPr>
          <w:rFonts w:ascii="Cambria Math" w:hAnsi="Cambria Math"/>
          <w:sz w:val="20"/>
          <w:szCs w:val="20"/>
        </w:rPr>
        <w:t>.</w:t>
      </w:r>
    </w:p>
    <w:p w:rsidR="002A00AB" w:rsidRDefault="002A00AB" w:rsidP="00185695">
      <w:pPr>
        <w:spacing w:after="0" w:line="240" w:lineRule="auto"/>
        <w:rPr>
          <w:rFonts w:ascii="Cambria Math" w:hAnsi="Cambria Math"/>
          <w:sz w:val="20"/>
          <w:szCs w:val="20"/>
        </w:rPr>
      </w:pPr>
    </w:p>
    <w:p w:rsidR="00BA3746" w:rsidRDefault="00BA3746" w:rsidP="00185695">
      <w:pPr>
        <w:spacing w:after="0" w:line="240" w:lineRule="auto"/>
        <w:rPr>
          <w:rFonts w:ascii="Cambria Math" w:hAnsi="Cambria Math"/>
          <w:sz w:val="20"/>
          <w:szCs w:val="20"/>
        </w:rPr>
      </w:pPr>
    </w:p>
    <w:p w:rsidR="00672ECE" w:rsidRPr="002149FF" w:rsidRDefault="00672ECE" w:rsidP="00A60D01">
      <w:pPr>
        <w:spacing w:after="0" w:line="240" w:lineRule="auto"/>
        <w:jc w:val="center"/>
        <w:rPr>
          <w:b/>
          <w:i/>
          <w:sz w:val="32"/>
          <w:szCs w:val="32"/>
        </w:rPr>
      </w:pPr>
      <w:r w:rsidRPr="002149FF">
        <w:rPr>
          <w:b/>
          <w:i/>
          <w:sz w:val="32"/>
          <w:szCs w:val="32"/>
        </w:rPr>
        <w:t>Speaker</w:t>
      </w:r>
      <w:r w:rsidR="00A60D01" w:rsidRPr="002149FF">
        <w:rPr>
          <w:b/>
          <w:i/>
          <w:sz w:val="32"/>
          <w:szCs w:val="32"/>
        </w:rPr>
        <w:t xml:space="preserve"> Biographies</w:t>
      </w:r>
    </w:p>
    <w:p w:rsidR="00EC7435" w:rsidRPr="00810E53" w:rsidRDefault="00EC7435" w:rsidP="00185695">
      <w:pPr>
        <w:spacing w:after="0" w:line="240" w:lineRule="auto"/>
        <w:rPr>
          <w:rFonts w:ascii="Cambria Math" w:hAnsi="Cambria Math"/>
          <w:sz w:val="20"/>
          <w:szCs w:val="20"/>
        </w:rPr>
      </w:pPr>
    </w:p>
    <w:p w:rsidR="005E21A1" w:rsidRDefault="005E21A1" w:rsidP="006222CB">
      <w:pPr>
        <w:spacing w:after="0"/>
        <w:rPr>
          <w:rFonts w:ascii="Times New Roman" w:hAnsi="Times New Roman" w:cs="Times New Roman"/>
          <w:i/>
        </w:rPr>
      </w:pPr>
      <w:r>
        <w:rPr>
          <w:rFonts w:ascii="Times New Roman" w:hAnsi="Times New Roman" w:cs="Times New Roman"/>
          <w:i/>
        </w:rPr>
        <w:t>Computer Forensics 10</w:t>
      </w:r>
      <w:r w:rsidR="006C17A2">
        <w:rPr>
          <w:rFonts w:ascii="Times New Roman" w:hAnsi="Times New Roman" w:cs="Times New Roman"/>
          <w:i/>
        </w:rPr>
        <w:t>1</w:t>
      </w:r>
    </w:p>
    <w:p w:rsidR="00BA3746" w:rsidRDefault="005E21A1" w:rsidP="00B01345">
      <w:pPr>
        <w:spacing w:after="0" w:line="240" w:lineRule="auto"/>
        <w:rPr>
          <w:rFonts w:ascii="Times New Roman" w:hAnsi="Times New Roman" w:cs="Times New Roman"/>
          <w:b/>
          <w:sz w:val="20"/>
          <w:szCs w:val="20"/>
        </w:rPr>
      </w:pPr>
      <w:proofErr w:type="spellStart"/>
      <w:r w:rsidRPr="001F0654">
        <w:rPr>
          <w:rFonts w:ascii="Times New Roman" w:hAnsi="Times New Roman" w:cs="Times New Roman"/>
          <w:b/>
          <w:sz w:val="20"/>
          <w:szCs w:val="20"/>
        </w:rPr>
        <w:t>Sankara</w:t>
      </w:r>
      <w:proofErr w:type="spellEnd"/>
      <w:r w:rsidRPr="001F0654">
        <w:rPr>
          <w:rFonts w:ascii="Times New Roman" w:hAnsi="Times New Roman" w:cs="Times New Roman"/>
          <w:b/>
          <w:sz w:val="20"/>
          <w:szCs w:val="20"/>
        </w:rPr>
        <w:t xml:space="preserve"> </w:t>
      </w:r>
      <w:proofErr w:type="spellStart"/>
      <w:r w:rsidRPr="001F0654">
        <w:rPr>
          <w:rFonts w:ascii="Times New Roman" w:hAnsi="Times New Roman" w:cs="Times New Roman"/>
          <w:b/>
          <w:sz w:val="20"/>
          <w:szCs w:val="20"/>
        </w:rPr>
        <w:t>Shanmugam</w:t>
      </w:r>
      <w:proofErr w:type="spellEnd"/>
      <w:r w:rsidR="00A11E24" w:rsidRPr="001F0654">
        <w:rPr>
          <w:rFonts w:ascii="Times New Roman" w:hAnsi="Times New Roman" w:cs="Times New Roman"/>
          <w:b/>
          <w:sz w:val="20"/>
          <w:szCs w:val="20"/>
        </w:rPr>
        <w:t xml:space="preserve">, </w:t>
      </w:r>
      <w:r w:rsidR="00A11E24" w:rsidRPr="001F0654">
        <w:rPr>
          <w:rFonts w:ascii="Cambria Math" w:hAnsi="Cambria Math"/>
          <w:b/>
          <w:sz w:val="20"/>
          <w:szCs w:val="20"/>
        </w:rPr>
        <w:t xml:space="preserve">Associate Director, </w:t>
      </w:r>
      <w:proofErr w:type="spellStart"/>
      <w:r w:rsidR="00B01345">
        <w:rPr>
          <w:rFonts w:ascii="Cambria Math" w:hAnsi="Cambria Math"/>
          <w:b/>
          <w:sz w:val="20"/>
          <w:szCs w:val="20"/>
        </w:rPr>
        <w:t>Protiviti</w:t>
      </w:r>
      <w:proofErr w:type="spellEnd"/>
      <w:r w:rsidR="00B01345">
        <w:rPr>
          <w:rFonts w:ascii="Cambria Math" w:hAnsi="Cambria Math"/>
          <w:b/>
          <w:sz w:val="20"/>
          <w:szCs w:val="20"/>
        </w:rPr>
        <w:t xml:space="preserve">, </w:t>
      </w:r>
      <w:r w:rsidR="00A11E24" w:rsidRPr="001F0654">
        <w:rPr>
          <w:rFonts w:ascii="Cambria Math" w:hAnsi="Cambria Math"/>
          <w:b/>
          <w:sz w:val="20"/>
          <w:szCs w:val="20"/>
        </w:rPr>
        <w:t>Internal Audit and Business Consulting</w:t>
      </w:r>
      <w:r w:rsidR="00B01345">
        <w:rPr>
          <w:rFonts w:ascii="Cambria Math" w:hAnsi="Cambria Math"/>
          <w:b/>
          <w:sz w:val="20"/>
          <w:szCs w:val="20"/>
        </w:rPr>
        <w:t xml:space="preserve">, </w:t>
      </w:r>
      <w:r w:rsidR="00E6067E" w:rsidRPr="00E6067E">
        <w:rPr>
          <w:rFonts w:ascii="Cambria Math" w:hAnsi="Cambria Math"/>
          <w:b/>
          <w:sz w:val="20"/>
          <w:szCs w:val="20"/>
        </w:rPr>
        <w:t>New York</w:t>
      </w:r>
    </w:p>
    <w:p w:rsidR="006222CB" w:rsidRPr="005E21A1" w:rsidRDefault="006222CB" w:rsidP="006222CB">
      <w:pPr>
        <w:spacing w:after="0"/>
        <w:rPr>
          <w:rFonts w:ascii="Times New Roman" w:hAnsi="Times New Roman" w:cs="Times New Roman"/>
          <w:b/>
          <w:sz w:val="20"/>
          <w:szCs w:val="20"/>
        </w:rPr>
      </w:pPr>
    </w:p>
    <w:p w:rsidR="00F561B3" w:rsidRDefault="00F561B3" w:rsidP="006222CB">
      <w:pPr>
        <w:autoSpaceDE w:val="0"/>
        <w:autoSpaceDN w:val="0"/>
        <w:adjustRightInd w:val="0"/>
        <w:spacing w:after="0"/>
        <w:jc w:val="both"/>
        <w:rPr>
          <w:rFonts w:ascii="Cambria Math" w:eastAsia="MS Mincho" w:hAnsi="Cambria Math" w:cs="Arial" w:hint="eastAsia"/>
          <w:snapToGrid w:val="0"/>
          <w:color w:val="000000"/>
          <w:sz w:val="20"/>
          <w:szCs w:val="20"/>
        </w:rPr>
      </w:pPr>
      <w:proofErr w:type="spellStart"/>
      <w:r w:rsidRPr="00F561B3">
        <w:rPr>
          <w:rFonts w:ascii="Cambria Math" w:eastAsia="MS Mincho" w:hAnsi="Cambria Math" w:cs="Arial"/>
          <w:snapToGrid w:val="0"/>
          <w:color w:val="000000"/>
          <w:sz w:val="20"/>
          <w:szCs w:val="20"/>
        </w:rPr>
        <w:t>Sankara</w:t>
      </w:r>
      <w:proofErr w:type="spellEnd"/>
      <w:r w:rsidRPr="00F561B3">
        <w:rPr>
          <w:rFonts w:ascii="Cambria Math" w:eastAsia="MS Mincho" w:hAnsi="Cambria Math" w:cs="Arial"/>
          <w:snapToGrid w:val="0"/>
          <w:color w:val="000000"/>
          <w:sz w:val="20"/>
          <w:szCs w:val="20"/>
        </w:rPr>
        <w:t xml:space="preserve"> </w:t>
      </w:r>
      <w:proofErr w:type="spellStart"/>
      <w:r w:rsidRPr="00F561B3">
        <w:rPr>
          <w:rFonts w:ascii="Cambria Math" w:eastAsia="MS Mincho" w:hAnsi="Cambria Math" w:cs="Arial"/>
          <w:snapToGrid w:val="0"/>
          <w:color w:val="000000"/>
          <w:sz w:val="20"/>
          <w:szCs w:val="20"/>
        </w:rPr>
        <w:t>Shanmugam</w:t>
      </w:r>
      <w:proofErr w:type="spellEnd"/>
      <w:r w:rsidRPr="00F561B3">
        <w:rPr>
          <w:rFonts w:ascii="Cambria Math" w:eastAsia="MS Mincho" w:hAnsi="Cambria Math" w:cs="Arial"/>
          <w:snapToGrid w:val="0"/>
          <w:color w:val="000000"/>
          <w:sz w:val="20"/>
          <w:szCs w:val="20"/>
        </w:rPr>
        <w:t xml:space="preserve"> is an Associate Director in the Incident Response &amp; Forensics Investigations Practice at </w:t>
      </w:r>
      <w:proofErr w:type="spellStart"/>
      <w:r w:rsidRPr="00F561B3">
        <w:rPr>
          <w:rFonts w:ascii="Cambria Math" w:eastAsia="MS Mincho" w:hAnsi="Cambria Math" w:cs="Arial"/>
          <w:snapToGrid w:val="0"/>
          <w:color w:val="000000"/>
          <w:sz w:val="20"/>
          <w:szCs w:val="20"/>
        </w:rPr>
        <w:t>Protiviti</w:t>
      </w:r>
      <w:proofErr w:type="spellEnd"/>
      <w:r w:rsidRPr="00F561B3">
        <w:rPr>
          <w:rFonts w:ascii="Cambria Math" w:eastAsia="MS Mincho" w:hAnsi="Cambria Math" w:cs="Arial"/>
          <w:snapToGrid w:val="0"/>
          <w:color w:val="000000"/>
          <w:sz w:val="20"/>
          <w:szCs w:val="20"/>
        </w:rPr>
        <w:t xml:space="preserve">. Prior to this, </w:t>
      </w:r>
      <w:proofErr w:type="spellStart"/>
      <w:r w:rsidRPr="00F561B3">
        <w:rPr>
          <w:rFonts w:ascii="Cambria Math" w:eastAsia="MS Mincho" w:hAnsi="Cambria Math" w:cs="Arial"/>
          <w:snapToGrid w:val="0"/>
          <w:color w:val="000000"/>
          <w:sz w:val="20"/>
          <w:szCs w:val="20"/>
        </w:rPr>
        <w:t>Sankara</w:t>
      </w:r>
      <w:proofErr w:type="spellEnd"/>
      <w:r w:rsidRPr="00F561B3">
        <w:rPr>
          <w:rFonts w:ascii="Cambria Math" w:eastAsia="MS Mincho" w:hAnsi="Cambria Math" w:cs="Arial"/>
          <w:snapToGrid w:val="0"/>
          <w:color w:val="000000"/>
          <w:sz w:val="20"/>
          <w:szCs w:val="20"/>
        </w:rPr>
        <w:t xml:space="preserve"> was a Forensic Examiner and Network Administrator at PG Lewis &amp; Associates (acquired by </w:t>
      </w:r>
      <w:proofErr w:type="spellStart"/>
      <w:r w:rsidRPr="00F561B3">
        <w:rPr>
          <w:rFonts w:ascii="Cambria Math" w:eastAsia="MS Mincho" w:hAnsi="Cambria Math" w:cs="Arial"/>
          <w:snapToGrid w:val="0"/>
          <w:color w:val="000000"/>
          <w:sz w:val="20"/>
          <w:szCs w:val="20"/>
        </w:rPr>
        <w:t>Protiviti</w:t>
      </w:r>
      <w:proofErr w:type="spellEnd"/>
      <w:r w:rsidRPr="00F561B3">
        <w:rPr>
          <w:rFonts w:ascii="Cambria Math" w:eastAsia="MS Mincho" w:hAnsi="Cambria Math" w:cs="Arial"/>
          <w:snapToGrid w:val="0"/>
          <w:color w:val="000000"/>
          <w:sz w:val="20"/>
          <w:szCs w:val="20"/>
        </w:rPr>
        <w:t xml:space="preserve"> in March 2006). </w:t>
      </w:r>
    </w:p>
    <w:p w:rsidR="006222CB" w:rsidRPr="00F561B3" w:rsidRDefault="006222CB" w:rsidP="006222CB">
      <w:pPr>
        <w:autoSpaceDE w:val="0"/>
        <w:autoSpaceDN w:val="0"/>
        <w:adjustRightInd w:val="0"/>
        <w:spacing w:after="0"/>
        <w:jc w:val="both"/>
        <w:rPr>
          <w:rFonts w:ascii="Cambria Math" w:eastAsia="MS Mincho" w:hAnsi="Cambria Math" w:cs="Arial" w:hint="eastAsia"/>
          <w:snapToGrid w:val="0"/>
          <w:color w:val="000000"/>
          <w:sz w:val="20"/>
          <w:szCs w:val="20"/>
        </w:rPr>
      </w:pPr>
    </w:p>
    <w:p w:rsidR="00F561B3" w:rsidRPr="00F561B3" w:rsidRDefault="00F561B3" w:rsidP="00F561B3">
      <w:pPr>
        <w:autoSpaceDE w:val="0"/>
        <w:autoSpaceDN w:val="0"/>
        <w:adjustRightInd w:val="0"/>
        <w:jc w:val="both"/>
        <w:rPr>
          <w:rFonts w:ascii="Cambria Math" w:eastAsia="MS Mincho" w:hAnsi="Cambria Math" w:cs="Arial" w:hint="eastAsia"/>
          <w:bCs/>
          <w:snapToGrid w:val="0"/>
          <w:color w:val="000000"/>
          <w:sz w:val="20"/>
          <w:szCs w:val="20"/>
        </w:rPr>
      </w:pPr>
      <w:r w:rsidRPr="00F561B3">
        <w:rPr>
          <w:rFonts w:ascii="Cambria Math" w:eastAsia="MS Mincho" w:hAnsi="Cambria Math" w:cs="Arial"/>
          <w:bCs/>
          <w:snapToGrid w:val="0"/>
          <w:color w:val="000000"/>
          <w:sz w:val="20"/>
          <w:szCs w:val="20"/>
        </w:rPr>
        <w:t xml:space="preserve">Credentialed as a Certified Computer Examiner and an Encase Certified Examiner, he is proficient in the use of industry standard tools and methodologies. Having been involved in hundreds of cases as an investigator and lead examiner, </w:t>
      </w:r>
      <w:proofErr w:type="spellStart"/>
      <w:r w:rsidRPr="00F561B3">
        <w:rPr>
          <w:rFonts w:ascii="Cambria Math" w:eastAsia="MS Mincho" w:hAnsi="Cambria Math" w:cs="Arial"/>
          <w:bCs/>
          <w:snapToGrid w:val="0"/>
          <w:color w:val="000000"/>
          <w:sz w:val="20"/>
          <w:szCs w:val="20"/>
        </w:rPr>
        <w:t>Sankara</w:t>
      </w:r>
      <w:proofErr w:type="spellEnd"/>
      <w:r w:rsidRPr="00F561B3">
        <w:rPr>
          <w:rFonts w:ascii="Cambria Math" w:eastAsia="MS Mincho" w:hAnsi="Cambria Math" w:cs="Arial"/>
          <w:bCs/>
          <w:snapToGrid w:val="0"/>
          <w:color w:val="000000"/>
          <w:sz w:val="20"/>
          <w:szCs w:val="20"/>
        </w:rPr>
        <w:t xml:space="preserve"> has performed and/or led the forensic imaging of thousands of devices across many countries over the course of his career.</w:t>
      </w:r>
    </w:p>
    <w:p w:rsidR="00F561B3" w:rsidRPr="00F561B3" w:rsidRDefault="00F561B3" w:rsidP="00F561B3">
      <w:pPr>
        <w:autoSpaceDE w:val="0"/>
        <w:autoSpaceDN w:val="0"/>
        <w:adjustRightInd w:val="0"/>
        <w:jc w:val="both"/>
        <w:rPr>
          <w:rFonts w:ascii="Cambria Math" w:eastAsia="MS Mincho" w:hAnsi="Cambria Math" w:cs="Arial" w:hint="eastAsia"/>
          <w:snapToGrid w:val="0"/>
          <w:color w:val="000000"/>
          <w:sz w:val="20"/>
          <w:szCs w:val="20"/>
        </w:rPr>
      </w:pPr>
      <w:r w:rsidRPr="00F561B3">
        <w:rPr>
          <w:rFonts w:ascii="Cambria Math" w:eastAsia="MS Mincho" w:hAnsi="Cambria Math" w:cs="Arial"/>
          <w:snapToGrid w:val="0"/>
          <w:color w:val="000000"/>
          <w:sz w:val="20"/>
          <w:szCs w:val="20"/>
        </w:rPr>
        <w:t xml:space="preserve">As lead examiner in several cases, </w:t>
      </w:r>
      <w:proofErr w:type="spellStart"/>
      <w:r w:rsidRPr="00F561B3">
        <w:rPr>
          <w:rFonts w:ascii="Cambria Math" w:eastAsia="MS Mincho" w:hAnsi="Cambria Math" w:cs="Arial"/>
          <w:snapToGrid w:val="0"/>
          <w:color w:val="000000"/>
          <w:sz w:val="20"/>
          <w:szCs w:val="20"/>
        </w:rPr>
        <w:t>Sankara</w:t>
      </w:r>
      <w:proofErr w:type="spellEnd"/>
      <w:r w:rsidRPr="00F561B3">
        <w:rPr>
          <w:rFonts w:ascii="Cambria Math" w:eastAsia="MS Mincho" w:hAnsi="Cambria Math" w:cs="Arial"/>
          <w:snapToGrid w:val="0"/>
          <w:color w:val="000000"/>
          <w:sz w:val="20"/>
          <w:szCs w:val="20"/>
        </w:rPr>
        <w:t xml:space="preserve"> has helped formalize strategy and execution procedures for investigations involving digital devices. </w:t>
      </w:r>
      <w:proofErr w:type="spellStart"/>
      <w:r w:rsidRPr="00F561B3">
        <w:rPr>
          <w:rFonts w:ascii="Cambria Math" w:eastAsia="MS Mincho" w:hAnsi="Cambria Math" w:cs="Arial"/>
          <w:snapToGrid w:val="0"/>
          <w:color w:val="000000"/>
          <w:sz w:val="20"/>
          <w:szCs w:val="20"/>
        </w:rPr>
        <w:t>Sankara</w:t>
      </w:r>
      <w:proofErr w:type="spellEnd"/>
      <w:r w:rsidRPr="00F561B3">
        <w:rPr>
          <w:rFonts w:ascii="Cambria Math" w:eastAsia="MS Mincho" w:hAnsi="Cambria Math" w:cs="Arial"/>
          <w:snapToGrid w:val="0"/>
          <w:color w:val="000000"/>
          <w:sz w:val="20"/>
          <w:szCs w:val="20"/>
        </w:rPr>
        <w:t xml:space="preserve"> has done case work involving Theft of Intellectual Property, Fraud, civil disputes, data destruction etc. He has prepared expert reports, provided written testimony and oral testimony in court for those cases as well as served as a consultant for pre-trial strategy.</w:t>
      </w:r>
    </w:p>
    <w:p w:rsidR="00F561B3" w:rsidRPr="00F561B3" w:rsidRDefault="00F561B3" w:rsidP="00F561B3">
      <w:pPr>
        <w:autoSpaceDE w:val="0"/>
        <w:autoSpaceDN w:val="0"/>
        <w:adjustRightInd w:val="0"/>
        <w:jc w:val="both"/>
        <w:rPr>
          <w:rFonts w:ascii="Cambria Math" w:eastAsia="MS Mincho" w:hAnsi="Cambria Math" w:cs="Arial" w:hint="eastAsia"/>
          <w:snapToGrid w:val="0"/>
          <w:color w:val="000000"/>
          <w:sz w:val="20"/>
          <w:szCs w:val="20"/>
        </w:rPr>
      </w:pPr>
      <w:r w:rsidRPr="00F561B3">
        <w:rPr>
          <w:rFonts w:ascii="Cambria Math" w:eastAsia="MS Mincho" w:hAnsi="Cambria Math" w:cs="Arial"/>
          <w:snapToGrid w:val="0"/>
          <w:color w:val="000000"/>
          <w:sz w:val="20"/>
          <w:szCs w:val="20"/>
        </w:rPr>
        <w:t>Representative Engagements</w:t>
      </w:r>
    </w:p>
    <w:p w:rsidR="00F561B3" w:rsidRPr="00F561B3" w:rsidRDefault="00F561B3" w:rsidP="00F561B3">
      <w:pPr>
        <w:framePr w:wrap="auto" w:hAnchor="text" w:x="-720"/>
        <w:spacing w:before="240" w:after="120"/>
        <w:rPr>
          <w:rFonts w:ascii="Cambria Math" w:eastAsia="MS Mincho" w:hAnsi="Cambria Math" w:hint="eastAsia"/>
          <w:b/>
          <w:iCs/>
          <w:color w:val="5D7B9A"/>
          <w:szCs w:val="20"/>
          <w:lang w:eastAsia="ja-JP"/>
        </w:rPr>
      </w:pPr>
    </w:p>
    <w:p w:rsidR="00F561B3" w:rsidRPr="00F561B3" w:rsidRDefault="00F561B3" w:rsidP="00F561B3">
      <w:pPr>
        <w:numPr>
          <w:ilvl w:val="0"/>
          <w:numId w:val="7"/>
        </w:numPr>
        <w:spacing w:after="0" w:line="240" w:lineRule="auto"/>
        <w:ind w:left="268" w:hanging="270"/>
        <w:jc w:val="both"/>
        <w:rPr>
          <w:rFonts w:ascii="Cambria Math" w:eastAsia="MS Mincho" w:hAnsi="Cambria Math" w:hint="eastAsia"/>
          <w:b/>
          <w:bCs/>
          <w:sz w:val="20"/>
          <w:szCs w:val="20"/>
          <w:u w:val="single"/>
          <w:lang w:eastAsia="ja-JP"/>
        </w:rPr>
      </w:pPr>
      <w:r w:rsidRPr="00F561B3">
        <w:rPr>
          <w:rFonts w:ascii="Cambria Math" w:eastAsia="MS Mincho" w:hAnsi="Cambria Math"/>
          <w:b/>
          <w:bCs/>
          <w:sz w:val="20"/>
          <w:szCs w:val="20"/>
          <w:u w:val="single"/>
          <w:lang w:eastAsia="ja-JP"/>
        </w:rPr>
        <w:t xml:space="preserve">Jayme Gordon v. </w:t>
      </w:r>
      <w:proofErr w:type="spellStart"/>
      <w:r w:rsidRPr="00F561B3">
        <w:rPr>
          <w:rFonts w:ascii="Cambria Math" w:eastAsia="MS Mincho" w:hAnsi="Cambria Math"/>
          <w:b/>
          <w:bCs/>
          <w:sz w:val="20"/>
          <w:szCs w:val="20"/>
          <w:u w:val="single"/>
          <w:lang w:eastAsia="ja-JP"/>
        </w:rPr>
        <w:t>Dreamworks</w:t>
      </w:r>
      <w:proofErr w:type="spellEnd"/>
      <w:r w:rsidRPr="00F561B3">
        <w:rPr>
          <w:rFonts w:ascii="Cambria Math" w:eastAsia="MS Mincho" w:hAnsi="Cambria Math"/>
          <w:b/>
          <w:bCs/>
          <w:sz w:val="20"/>
          <w:szCs w:val="20"/>
          <w:u w:val="single"/>
          <w:lang w:eastAsia="ja-JP"/>
        </w:rPr>
        <w:t xml:space="preserve"> Animation SKG, et al, Civil Action No.: 1:11-cv-10255-JLT (US District Court – Massachusetts) –</w:t>
      </w:r>
      <w:r w:rsidRPr="00F561B3">
        <w:rPr>
          <w:rFonts w:ascii="Cambria Math" w:eastAsia="MS Mincho" w:hAnsi="Cambria Math"/>
          <w:bCs/>
          <w:sz w:val="20"/>
          <w:szCs w:val="20"/>
          <w:lang w:eastAsia="ja-JP"/>
        </w:rPr>
        <w:t xml:space="preserve"> Performed computer forensic examinations of Plaintiff’s devices and authored affidavits and expert reports on findings with regard to spoliation.</w:t>
      </w:r>
    </w:p>
    <w:p w:rsidR="00F561B3" w:rsidRPr="00F561B3" w:rsidRDefault="00F561B3" w:rsidP="00F561B3">
      <w:pPr>
        <w:numPr>
          <w:ilvl w:val="0"/>
          <w:numId w:val="7"/>
        </w:numPr>
        <w:spacing w:after="0" w:line="240" w:lineRule="auto"/>
        <w:ind w:left="268" w:hanging="270"/>
        <w:jc w:val="both"/>
        <w:rPr>
          <w:rFonts w:ascii="Cambria Math" w:eastAsia="MS Mincho" w:hAnsi="Cambria Math" w:hint="eastAsia"/>
          <w:b/>
          <w:bCs/>
          <w:sz w:val="20"/>
          <w:szCs w:val="20"/>
          <w:u w:val="single"/>
          <w:lang w:eastAsia="ja-JP"/>
        </w:rPr>
      </w:pPr>
      <w:r w:rsidRPr="00F561B3">
        <w:rPr>
          <w:rFonts w:ascii="Cambria Math" w:eastAsia="MS Mincho" w:hAnsi="Cambria Math"/>
          <w:b/>
          <w:bCs/>
          <w:sz w:val="20"/>
          <w:szCs w:val="20"/>
          <w:u w:val="single"/>
          <w:lang w:eastAsia="ja-JP"/>
        </w:rPr>
        <w:t xml:space="preserve">Incident Response – Insurance Company – </w:t>
      </w:r>
      <w:r w:rsidRPr="00F561B3">
        <w:rPr>
          <w:rFonts w:ascii="Cambria Math" w:eastAsia="MS Mincho" w:hAnsi="Cambria Math"/>
          <w:bCs/>
          <w:sz w:val="20"/>
          <w:szCs w:val="20"/>
          <w:lang w:eastAsia="ja-JP"/>
        </w:rPr>
        <w:t>Lead examiner in a data breach incident with a large insurance company. Led the effort to forensically image over a hundred computers across multiple cities in the US and perform analysis to find the vector used to carry out the breach.</w:t>
      </w:r>
    </w:p>
    <w:p w:rsidR="00F561B3" w:rsidRPr="00F561B3" w:rsidRDefault="00F561B3" w:rsidP="00F561B3">
      <w:pPr>
        <w:numPr>
          <w:ilvl w:val="0"/>
          <w:numId w:val="7"/>
        </w:numPr>
        <w:spacing w:after="0" w:line="240" w:lineRule="auto"/>
        <w:ind w:left="268" w:hanging="270"/>
        <w:jc w:val="both"/>
        <w:rPr>
          <w:rFonts w:ascii="Cambria Math" w:eastAsia="MS Mincho" w:hAnsi="Cambria Math" w:hint="eastAsia"/>
          <w:b/>
          <w:bCs/>
          <w:sz w:val="20"/>
          <w:szCs w:val="20"/>
          <w:u w:val="single"/>
          <w:lang w:eastAsia="ja-JP"/>
        </w:rPr>
      </w:pPr>
      <w:r w:rsidRPr="00F561B3">
        <w:rPr>
          <w:rFonts w:ascii="Cambria Math" w:eastAsia="MS Mincho" w:hAnsi="Cambria Math"/>
          <w:b/>
          <w:bCs/>
          <w:sz w:val="20"/>
          <w:szCs w:val="20"/>
          <w:u w:val="single"/>
          <w:lang w:eastAsia="ja-JP"/>
        </w:rPr>
        <w:lastRenderedPageBreak/>
        <w:t xml:space="preserve">Forensic Imaging/eDiscovery Processing – Multinational Pharmaceutical Company – </w:t>
      </w:r>
      <w:r w:rsidRPr="00F561B3">
        <w:rPr>
          <w:rFonts w:ascii="Cambria Math" w:eastAsia="MS Mincho" w:hAnsi="Cambria Math"/>
          <w:bCs/>
          <w:sz w:val="20"/>
          <w:szCs w:val="20"/>
          <w:lang w:eastAsia="ja-JP"/>
        </w:rPr>
        <w:t>Performed and coordinated the forensic imaging of devices across countries in multiple continents for processing and review of electronic data for a large multi-country FCPA investigation.</w:t>
      </w:r>
    </w:p>
    <w:p w:rsidR="00F561B3" w:rsidRPr="00F561B3" w:rsidRDefault="00F561B3" w:rsidP="00F561B3">
      <w:pPr>
        <w:numPr>
          <w:ilvl w:val="0"/>
          <w:numId w:val="7"/>
        </w:numPr>
        <w:spacing w:after="0" w:line="240" w:lineRule="auto"/>
        <w:ind w:left="268" w:hanging="270"/>
        <w:jc w:val="both"/>
        <w:rPr>
          <w:rFonts w:ascii="Cambria Math" w:eastAsia="MS Mincho" w:hAnsi="Cambria Math" w:hint="eastAsia"/>
          <w:b/>
          <w:bCs/>
          <w:sz w:val="20"/>
          <w:szCs w:val="20"/>
          <w:u w:val="single"/>
          <w:lang w:eastAsia="ja-JP"/>
        </w:rPr>
      </w:pPr>
      <w:r w:rsidRPr="00F561B3">
        <w:rPr>
          <w:rFonts w:ascii="Cambria Math" w:eastAsia="MS Mincho" w:hAnsi="Cambria Math"/>
          <w:b/>
          <w:bCs/>
          <w:sz w:val="20"/>
          <w:szCs w:val="20"/>
          <w:u w:val="single"/>
          <w:lang w:eastAsia="ja-JP"/>
        </w:rPr>
        <w:t xml:space="preserve">Young Woo &amp; </w:t>
      </w:r>
      <w:proofErr w:type="spellStart"/>
      <w:r w:rsidRPr="00F561B3">
        <w:rPr>
          <w:rFonts w:ascii="Cambria Math" w:eastAsia="MS Mincho" w:hAnsi="Cambria Math"/>
          <w:b/>
          <w:bCs/>
          <w:sz w:val="20"/>
          <w:szCs w:val="20"/>
          <w:u w:val="single"/>
          <w:lang w:eastAsia="ja-JP"/>
        </w:rPr>
        <w:t>Assoc</w:t>
      </w:r>
      <w:proofErr w:type="spellEnd"/>
      <w:r w:rsidRPr="00F561B3">
        <w:rPr>
          <w:rFonts w:ascii="Cambria Math" w:eastAsia="MS Mincho" w:hAnsi="Cambria Math"/>
          <w:b/>
          <w:bCs/>
          <w:sz w:val="20"/>
          <w:szCs w:val="20"/>
          <w:u w:val="single"/>
          <w:lang w:eastAsia="ja-JP"/>
        </w:rPr>
        <w:t>.</w:t>
      </w:r>
      <w:proofErr w:type="gramStart"/>
      <w:r w:rsidRPr="00F561B3">
        <w:rPr>
          <w:rFonts w:ascii="Cambria Math" w:eastAsia="MS Mincho" w:hAnsi="Cambria Math"/>
          <w:b/>
          <w:bCs/>
          <w:sz w:val="20"/>
          <w:szCs w:val="20"/>
          <w:u w:val="single"/>
          <w:lang w:eastAsia="ja-JP"/>
        </w:rPr>
        <w:t>,LLC</w:t>
      </w:r>
      <w:proofErr w:type="gramEnd"/>
      <w:r w:rsidRPr="00F561B3">
        <w:rPr>
          <w:rFonts w:ascii="Cambria Math" w:eastAsia="MS Mincho" w:hAnsi="Cambria Math"/>
          <w:b/>
          <w:bCs/>
          <w:sz w:val="20"/>
          <w:szCs w:val="20"/>
          <w:u w:val="single"/>
          <w:lang w:eastAsia="ja-JP"/>
        </w:rPr>
        <w:t xml:space="preserve"> v. Andrew Kim, Index No. 652208/10 (Supreme Court of New York) – </w:t>
      </w:r>
      <w:r w:rsidRPr="00F561B3">
        <w:rPr>
          <w:rFonts w:ascii="Cambria Math" w:eastAsia="MS Mincho" w:hAnsi="Cambria Math"/>
          <w:bCs/>
          <w:sz w:val="20"/>
          <w:szCs w:val="20"/>
          <w:lang w:eastAsia="ja-JP"/>
        </w:rPr>
        <w:t>Written testimony in the form of affidavits regarding forensic imaging and analysis performed with regard to theft of intellectual property and trade secrets.</w:t>
      </w:r>
    </w:p>
    <w:p w:rsidR="00F561B3" w:rsidRPr="00F561B3" w:rsidRDefault="00F561B3" w:rsidP="00F561B3">
      <w:pPr>
        <w:numPr>
          <w:ilvl w:val="1"/>
          <w:numId w:val="6"/>
        </w:numPr>
        <w:tabs>
          <w:tab w:val="clear" w:pos="1440"/>
          <w:tab w:val="num" w:pos="229"/>
        </w:tabs>
        <w:spacing w:before="60" w:after="60" w:line="240" w:lineRule="auto"/>
        <w:ind w:left="229" w:hanging="229"/>
        <w:jc w:val="both"/>
        <w:rPr>
          <w:rFonts w:ascii="Cambria Math" w:eastAsia="MS Mincho" w:hAnsi="Cambria Math" w:hint="eastAsia"/>
          <w:b/>
          <w:bCs/>
          <w:sz w:val="20"/>
          <w:szCs w:val="20"/>
          <w:u w:val="single"/>
          <w:lang w:eastAsia="ja-JP"/>
        </w:rPr>
      </w:pPr>
      <w:proofErr w:type="spellStart"/>
      <w:r w:rsidRPr="00F561B3">
        <w:rPr>
          <w:rFonts w:ascii="Cambria Math" w:eastAsia="MS Mincho" w:hAnsi="Cambria Math"/>
          <w:b/>
          <w:bCs/>
          <w:sz w:val="20"/>
          <w:szCs w:val="20"/>
          <w:u w:val="single"/>
          <w:lang w:eastAsia="ja-JP"/>
        </w:rPr>
        <w:t>CreditSights</w:t>
      </w:r>
      <w:proofErr w:type="spellEnd"/>
      <w:r w:rsidRPr="00F561B3">
        <w:rPr>
          <w:rFonts w:ascii="Cambria Math" w:eastAsia="MS Mincho" w:hAnsi="Cambria Math"/>
          <w:b/>
          <w:bCs/>
          <w:sz w:val="20"/>
          <w:szCs w:val="20"/>
          <w:u w:val="single"/>
          <w:lang w:eastAsia="ja-JP"/>
        </w:rPr>
        <w:t xml:space="preserve">, Inc. v. Paul </w:t>
      </w:r>
      <w:proofErr w:type="spellStart"/>
      <w:r w:rsidRPr="00F561B3">
        <w:rPr>
          <w:rFonts w:ascii="Cambria Math" w:eastAsia="MS Mincho" w:hAnsi="Cambria Math"/>
          <w:b/>
          <w:bCs/>
          <w:sz w:val="20"/>
          <w:szCs w:val="20"/>
          <w:u w:val="single"/>
          <w:lang w:eastAsia="ja-JP"/>
        </w:rPr>
        <w:t>Ciasullo</w:t>
      </w:r>
      <w:proofErr w:type="spellEnd"/>
      <w:r w:rsidRPr="00F561B3">
        <w:rPr>
          <w:rFonts w:ascii="Cambria Math" w:eastAsia="MS Mincho" w:hAnsi="Cambria Math"/>
          <w:b/>
          <w:bCs/>
          <w:sz w:val="20"/>
          <w:szCs w:val="20"/>
          <w:u w:val="single"/>
          <w:lang w:eastAsia="ja-JP"/>
        </w:rPr>
        <w:t xml:space="preserve">, Docket No. 05-DV-9345 (US District Court – Southern District of New York - </w:t>
      </w:r>
      <w:r w:rsidRPr="00F561B3">
        <w:rPr>
          <w:rFonts w:ascii="Cambria Math" w:eastAsia="MS Mincho" w:hAnsi="Cambria Math"/>
          <w:sz w:val="20"/>
          <w:szCs w:val="20"/>
          <w:lang w:eastAsia="ja-JP"/>
        </w:rPr>
        <w:t>Written testimony in the form of an affidavit attesting to the processes and procedures used for the electronic discovery.</w:t>
      </w:r>
    </w:p>
    <w:p w:rsidR="00F561B3" w:rsidRPr="00F561B3" w:rsidRDefault="00F561B3" w:rsidP="00F561B3">
      <w:pPr>
        <w:numPr>
          <w:ilvl w:val="1"/>
          <w:numId w:val="6"/>
        </w:numPr>
        <w:tabs>
          <w:tab w:val="clear" w:pos="1440"/>
          <w:tab w:val="num" w:pos="229"/>
        </w:tabs>
        <w:spacing w:before="60" w:after="60" w:line="240" w:lineRule="auto"/>
        <w:ind w:left="268" w:hanging="229"/>
        <w:jc w:val="both"/>
        <w:rPr>
          <w:rFonts w:ascii="Cambria Math" w:eastAsia="MS Mincho" w:hAnsi="Cambria Math" w:hint="eastAsia"/>
          <w:b/>
          <w:bCs/>
          <w:sz w:val="20"/>
          <w:szCs w:val="20"/>
          <w:u w:val="single"/>
          <w:lang w:eastAsia="ja-JP"/>
        </w:rPr>
      </w:pPr>
      <w:proofErr w:type="spellStart"/>
      <w:r w:rsidRPr="00F561B3">
        <w:rPr>
          <w:rFonts w:ascii="Cambria Math" w:eastAsia="MS Mincho" w:hAnsi="Cambria Math"/>
          <w:b/>
          <w:bCs/>
          <w:sz w:val="20"/>
          <w:szCs w:val="20"/>
          <w:u w:val="single"/>
          <w:lang w:eastAsia="ja-JP"/>
        </w:rPr>
        <w:t>Cyalume</w:t>
      </w:r>
      <w:proofErr w:type="spellEnd"/>
      <w:r w:rsidRPr="00F561B3">
        <w:rPr>
          <w:rFonts w:ascii="Cambria Math" w:eastAsia="MS Mincho" w:hAnsi="Cambria Math"/>
          <w:b/>
          <w:bCs/>
          <w:sz w:val="20"/>
          <w:szCs w:val="20"/>
          <w:u w:val="single"/>
          <w:lang w:eastAsia="ja-JP"/>
        </w:rPr>
        <w:t xml:space="preserve"> Technologies v. </w:t>
      </w:r>
      <w:proofErr w:type="spellStart"/>
      <w:r w:rsidRPr="00F561B3">
        <w:rPr>
          <w:rFonts w:ascii="Cambria Math" w:eastAsia="MS Mincho" w:hAnsi="Cambria Math"/>
          <w:b/>
          <w:bCs/>
          <w:sz w:val="20"/>
          <w:szCs w:val="20"/>
          <w:u w:val="single"/>
          <w:lang w:eastAsia="ja-JP"/>
        </w:rPr>
        <w:t>Omniglow</w:t>
      </w:r>
      <w:proofErr w:type="spellEnd"/>
      <w:r w:rsidRPr="00F561B3">
        <w:rPr>
          <w:rFonts w:ascii="Cambria Math" w:eastAsia="MS Mincho" w:hAnsi="Cambria Math"/>
          <w:b/>
          <w:bCs/>
          <w:sz w:val="20"/>
          <w:szCs w:val="20"/>
          <w:u w:val="single"/>
          <w:lang w:eastAsia="ja-JP"/>
        </w:rPr>
        <w:t xml:space="preserve"> </w:t>
      </w:r>
      <w:proofErr w:type="gramStart"/>
      <w:r w:rsidRPr="00F561B3">
        <w:rPr>
          <w:rFonts w:ascii="Cambria Math" w:eastAsia="MS Mincho" w:hAnsi="Cambria Math"/>
          <w:b/>
          <w:bCs/>
          <w:sz w:val="20"/>
          <w:szCs w:val="20"/>
          <w:u w:val="single"/>
          <w:lang w:eastAsia="ja-JP"/>
        </w:rPr>
        <w:t>LLC.,</w:t>
      </w:r>
      <w:proofErr w:type="gramEnd"/>
      <w:r w:rsidRPr="00F561B3">
        <w:rPr>
          <w:rFonts w:ascii="Cambria Math" w:eastAsia="MS Mincho" w:hAnsi="Cambria Math"/>
          <w:b/>
          <w:bCs/>
          <w:sz w:val="20"/>
          <w:szCs w:val="20"/>
          <w:u w:val="single"/>
          <w:lang w:eastAsia="ja-JP"/>
        </w:rPr>
        <w:t xml:space="preserve"> Civil Action No. 06-706 (District Court – Springfield, MA) – </w:t>
      </w:r>
      <w:r w:rsidRPr="00F561B3">
        <w:rPr>
          <w:rFonts w:ascii="Cambria Math" w:eastAsia="MS Mincho" w:hAnsi="Cambria Math"/>
          <w:sz w:val="20"/>
          <w:szCs w:val="20"/>
          <w:lang w:eastAsia="ja-JP"/>
        </w:rPr>
        <w:t>Wrote expert report on investigation findings. Oral testimony in court on findings.</w:t>
      </w:r>
    </w:p>
    <w:p w:rsidR="00F561B3" w:rsidRPr="00F561B3" w:rsidRDefault="00F561B3" w:rsidP="00F561B3">
      <w:pPr>
        <w:numPr>
          <w:ilvl w:val="1"/>
          <w:numId w:val="6"/>
        </w:numPr>
        <w:tabs>
          <w:tab w:val="clear" w:pos="1440"/>
          <w:tab w:val="num" w:pos="229"/>
        </w:tabs>
        <w:spacing w:before="60" w:after="60" w:line="240" w:lineRule="auto"/>
        <w:ind w:left="229" w:hanging="229"/>
        <w:jc w:val="both"/>
        <w:rPr>
          <w:rFonts w:ascii="Cambria Math" w:eastAsia="MS Mincho" w:hAnsi="Cambria Math" w:hint="eastAsia"/>
          <w:b/>
          <w:bCs/>
          <w:sz w:val="20"/>
          <w:szCs w:val="20"/>
          <w:u w:val="single"/>
          <w:lang w:eastAsia="ja-JP"/>
        </w:rPr>
      </w:pPr>
      <w:r w:rsidRPr="00F561B3">
        <w:rPr>
          <w:rFonts w:ascii="Cambria Math" w:eastAsia="MS Mincho" w:hAnsi="Cambria Math"/>
          <w:b/>
          <w:bCs/>
          <w:sz w:val="20"/>
          <w:szCs w:val="20"/>
          <w:u w:val="single"/>
          <w:lang w:eastAsia="ja-JP"/>
        </w:rPr>
        <w:t xml:space="preserve">RLG, LLC v. TG Gallant Construction, Inc., Docket No. MID-L-6487-04 (Superior Court of New Jersey, Law </w:t>
      </w:r>
      <w:proofErr w:type="spellStart"/>
      <w:r w:rsidRPr="00F561B3">
        <w:rPr>
          <w:rFonts w:ascii="Cambria Math" w:eastAsia="MS Mincho" w:hAnsi="Cambria Math"/>
          <w:b/>
          <w:bCs/>
          <w:sz w:val="20"/>
          <w:szCs w:val="20"/>
          <w:u w:val="single"/>
          <w:lang w:eastAsia="ja-JP"/>
        </w:rPr>
        <w:t>Div</w:t>
      </w:r>
      <w:proofErr w:type="spellEnd"/>
      <w:r w:rsidRPr="00F561B3">
        <w:rPr>
          <w:rFonts w:ascii="Cambria Math" w:eastAsia="MS Mincho" w:hAnsi="Cambria Math"/>
          <w:b/>
          <w:bCs/>
          <w:sz w:val="20"/>
          <w:szCs w:val="20"/>
          <w:u w:val="single"/>
          <w:lang w:eastAsia="ja-JP"/>
        </w:rPr>
        <w:t xml:space="preserve">: </w:t>
      </w:r>
      <w:smartTag w:uri="urn:schemas-microsoft-com:office:smarttags" w:element="place">
        <w:smartTag w:uri="urn:schemas-microsoft-com:office:smarttags" w:element="PlaceName">
          <w:r w:rsidRPr="00F561B3">
            <w:rPr>
              <w:rFonts w:ascii="Cambria Math" w:eastAsia="MS Mincho" w:hAnsi="Cambria Math"/>
              <w:b/>
              <w:bCs/>
              <w:sz w:val="20"/>
              <w:szCs w:val="20"/>
              <w:u w:val="single"/>
              <w:lang w:eastAsia="ja-JP"/>
            </w:rPr>
            <w:t>Middlesex</w:t>
          </w:r>
        </w:smartTag>
        <w:r w:rsidRPr="00F561B3">
          <w:rPr>
            <w:rFonts w:ascii="Cambria Math" w:eastAsia="MS Mincho" w:hAnsi="Cambria Math"/>
            <w:b/>
            <w:bCs/>
            <w:sz w:val="20"/>
            <w:szCs w:val="20"/>
            <w:u w:val="single"/>
            <w:lang w:eastAsia="ja-JP"/>
          </w:rPr>
          <w:t xml:space="preserve"> </w:t>
        </w:r>
        <w:smartTag w:uri="urn:schemas-microsoft-com:office:smarttags" w:element="PlaceType">
          <w:r w:rsidRPr="00F561B3">
            <w:rPr>
              <w:rFonts w:ascii="Cambria Math" w:eastAsia="MS Mincho" w:hAnsi="Cambria Math"/>
              <w:b/>
              <w:bCs/>
              <w:sz w:val="20"/>
              <w:szCs w:val="20"/>
              <w:u w:val="single"/>
              <w:lang w:eastAsia="ja-JP"/>
            </w:rPr>
            <w:t>County</w:t>
          </w:r>
        </w:smartTag>
      </w:smartTag>
      <w:r w:rsidRPr="00F561B3">
        <w:rPr>
          <w:rFonts w:ascii="Cambria Math" w:eastAsia="MS Mincho" w:hAnsi="Cambria Math"/>
          <w:b/>
          <w:bCs/>
          <w:sz w:val="20"/>
          <w:szCs w:val="20"/>
          <w:u w:val="single"/>
          <w:lang w:eastAsia="ja-JP"/>
        </w:rPr>
        <w:t xml:space="preserve">) - </w:t>
      </w:r>
      <w:r w:rsidRPr="00F561B3">
        <w:rPr>
          <w:rFonts w:ascii="Cambria Math" w:eastAsia="MS Mincho" w:hAnsi="Cambria Math"/>
          <w:sz w:val="20"/>
          <w:szCs w:val="20"/>
          <w:lang w:eastAsia="ja-JP"/>
        </w:rPr>
        <w:t>Wrote expert reports on investigation findings. Qualified as Computer and Data Forensics expert in state court (</w:t>
      </w:r>
      <w:smartTag w:uri="urn:schemas-microsoft-com:office:smarttags" w:element="place">
        <w:smartTag w:uri="urn:schemas-microsoft-com:office:smarttags" w:element="City">
          <w:r w:rsidRPr="00F561B3">
            <w:rPr>
              <w:rFonts w:ascii="Cambria Math" w:eastAsia="MS Mincho" w:hAnsi="Cambria Math"/>
              <w:sz w:val="20"/>
              <w:szCs w:val="20"/>
              <w:lang w:eastAsia="ja-JP"/>
            </w:rPr>
            <w:t>Middlesex County</w:t>
          </w:r>
        </w:smartTag>
        <w:r w:rsidRPr="00F561B3">
          <w:rPr>
            <w:rFonts w:ascii="Cambria Math" w:eastAsia="MS Mincho" w:hAnsi="Cambria Math"/>
            <w:sz w:val="20"/>
            <w:szCs w:val="20"/>
            <w:lang w:eastAsia="ja-JP"/>
          </w:rPr>
          <w:t xml:space="preserve">, </w:t>
        </w:r>
        <w:smartTag w:uri="urn:schemas-microsoft-com:office:smarttags" w:element="State">
          <w:r w:rsidRPr="00F561B3">
            <w:rPr>
              <w:rFonts w:ascii="Cambria Math" w:eastAsia="MS Mincho" w:hAnsi="Cambria Math"/>
              <w:sz w:val="20"/>
              <w:szCs w:val="20"/>
              <w:lang w:eastAsia="ja-JP"/>
            </w:rPr>
            <w:t>NJ</w:t>
          </w:r>
        </w:smartTag>
      </w:smartTag>
      <w:r w:rsidRPr="00F561B3">
        <w:rPr>
          <w:rFonts w:ascii="Cambria Math" w:eastAsia="MS Mincho" w:hAnsi="Cambria Math"/>
          <w:sz w:val="20"/>
          <w:szCs w:val="20"/>
          <w:lang w:eastAsia="ja-JP"/>
        </w:rPr>
        <w:t>) and offered oral testimony on findings from investigation</w:t>
      </w:r>
    </w:p>
    <w:p w:rsidR="00F561B3" w:rsidRPr="00F561B3" w:rsidRDefault="00F561B3" w:rsidP="00F561B3">
      <w:pPr>
        <w:numPr>
          <w:ilvl w:val="1"/>
          <w:numId w:val="6"/>
        </w:numPr>
        <w:tabs>
          <w:tab w:val="clear" w:pos="1440"/>
          <w:tab w:val="num" w:pos="229"/>
        </w:tabs>
        <w:spacing w:before="60" w:after="60" w:line="240" w:lineRule="auto"/>
        <w:ind w:left="229" w:hanging="229"/>
        <w:jc w:val="both"/>
        <w:rPr>
          <w:rFonts w:ascii="Cambria Math" w:eastAsia="MS Mincho" w:hAnsi="Cambria Math" w:hint="eastAsia"/>
          <w:b/>
          <w:bCs/>
          <w:sz w:val="20"/>
          <w:szCs w:val="20"/>
          <w:u w:val="single"/>
          <w:lang w:eastAsia="ja-JP"/>
        </w:rPr>
      </w:pPr>
      <w:r w:rsidRPr="00F561B3">
        <w:rPr>
          <w:rFonts w:ascii="Cambria Math" w:eastAsia="MS Mincho" w:hAnsi="Cambria Math"/>
          <w:b/>
          <w:bCs/>
          <w:sz w:val="20"/>
          <w:szCs w:val="20"/>
          <w:u w:val="single"/>
          <w:lang w:eastAsia="ja-JP"/>
        </w:rPr>
        <w:t>NYC Office of Administrative Trials and Hearings –</w:t>
      </w:r>
      <w:r w:rsidRPr="00F561B3">
        <w:rPr>
          <w:rFonts w:ascii="Cambria Math" w:eastAsia="MS Mincho" w:hAnsi="Cambria Math"/>
          <w:bCs/>
          <w:sz w:val="20"/>
          <w:szCs w:val="20"/>
          <w:lang w:eastAsia="ja-JP"/>
        </w:rPr>
        <w:t xml:space="preserve"> Testimony in court regarding forensic investigation into inappropriate activities by an employee of a government entity.</w:t>
      </w:r>
    </w:p>
    <w:p w:rsidR="00F561B3" w:rsidRPr="00F561B3" w:rsidRDefault="00F561B3" w:rsidP="00F561B3">
      <w:pPr>
        <w:numPr>
          <w:ilvl w:val="1"/>
          <w:numId w:val="6"/>
        </w:numPr>
        <w:tabs>
          <w:tab w:val="clear" w:pos="1440"/>
          <w:tab w:val="num" w:pos="229"/>
        </w:tabs>
        <w:spacing w:before="60" w:after="60" w:line="240" w:lineRule="auto"/>
        <w:ind w:left="229" w:hanging="229"/>
        <w:jc w:val="both"/>
        <w:rPr>
          <w:rFonts w:ascii="Cambria Math" w:eastAsia="MS Mincho" w:hAnsi="Cambria Math" w:hint="eastAsia"/>
          <w:b/>
          <w:bCs/>
          <w:sz w:val="20"/>
          <w:szCs w:val="20"/>
          <w:u w:val="single"/>
          <w:lang w:eastAsia="ja-JP"/>
        </w:rPr>
      </w:pPr>
      <w:r w:rsidRPr="00F561B3">
        <w:rPr>
          <w:rFonts w:ascii="Cambria Math" w:eastAsia="MS Mincho" w:hAnsi="Cambria Math"/>
          <w:b/>
          <w:bCs/>
          <w:sz w:val="20"/>
          <w:szCs w:val="20"/>
          <w:u w:val="single"/>
          <w:lang w:eastAsia="ja-JP"/>
        </w:rPr>
        <w:t>Keystone Fruit Marketing v. Brownfield, Civil Action No.CV-05-5087-RHW (</w:t>
      </w:r>
      <w:proofErr w:type="spellStart"/>
      <w:r w:rsidRPr="00F561B3">
        <w:rPr>
          <w:rFonts w:ascii="Cambria Math" w:eastAsia="MS Mincho" w:hAnsi="Cambria Math"/>
          <w:b/>
          <w:bCs/>
          <w:sz w:val="20"/>
          <w:szCs w:val="20"/>
          <w:u w:val="single"/>
          <w:lang w:eastAsia="ja-JP"/>
        </w:rPr>
        <w:t>E.D.Wa</w:t>
      </w:r>
      <w:proofErr w:type="spellEnd"/>
      <w:r w:rsidRPr="00F561B3">
        <w:rPr>
          <w:rFonts w:ascii="Cambria Math" w:eastAsia="MS Mincho" w:hAnsi="Cambria Math"/>
          <w:b/>
          <w:bCs/>
          <w:sz w:val="20"/>
          <w:szCs w:val="20"/>
          <w:u w:val="single"/>
          <w:lang w:eastAsia="ja-JP"/>
        </w:rPr>
        <w:t xml:space="preserve">). - </w:t>
      </w:r>
      <w:r w:rsidRPr="00F561B3">
        <w:rPr>
          <w:rFonts w:ascii="Cambria Math" w:eastAsia="MS Mincho" w:hAnsi="Cambria Math"/>
          <w:sz w:val="20"/>
          <w:szCs w:val="20"/>
          <w:lang w:eastAsia="ja-JP"/>
        </w:rPr>
        <w:t xml:space="preserve"> Wrote expert report and a declaration with regard to findings during forensic investigation.</w:t>
      </w:r>
    </w:p>
    <w:p w:rsidR="00F561B3" w:rsidRPr="00F561B3" w:rsidRDefault="00F561B3" w:rsidP="00F561B3">
      <w:pPr>
        <w:numPr>
          <w:ilvl w:val="1"/>
          <w:numId w:val="6"/>
        </w:numPr>
        <w:tabs>
          <w:tab w:val="clear" w:pos="1440"/>
          <w:tab w:val="num" w:pos="229"/>
        </w:tabs>
        <w:spacing w:before="60" w:after="60" w:line="240" w:lineRule="auto"/>
        <w:ind w:left="229" w:hanging="229"/>
        <w:jc w:val="both"/>
        <w:rPr>
          <w:rFonts w:ascii="Cambria Math" w:eastAsia="MS Mincho" w:hAnsi="Cambria Math" w:hint="eastAsia"/>
          <w:b/>
          <w:bCs/>
          <w:sz w:val="20"/>
          <w:szCs w:val="20"/>
          <w:u w:val="single"/>
          <w:lang w:eastAsia="ja-JP"/>
        </w:rPr>
      </w:pPr>
      <w:smartTag w:uri="urn:schemas-microsoft-com:office:smarttags" w:element="PersonName">
        <w:smartTag w:uri="urn:schemas:contacts" w:element="GivenName">
          <w:r w:rsidRPr="00F561B3">
            <w:rPr>
              <w:rFonts w:ascii="Cambria Math" w:eastAsia="MS Mincho" w:hAnsi="Cambria Math"/>
              <w:b/>
              <w:bCs/>
              <w:sz w:val="20"/>
              <w:szCs w:val="20"/>
              <w:u w:val="single"/>
              <w:lang w:eastAsia="ja-JP"/>
            </w:rPr>
            <w:t>John</w:t>
          </w:r>
        </w:smartTag>
        <w:r w:rsidRPr="00F561B3">
          <w:rPr>
            <w:rFonts w:ascii="Cambria Math" w:eastAsia="MS Mincho" w:hAnsi="Cambria Math"/>
            <w:b/>
            <w:bCs/>
            <w:sz w:val="20"/>
            <w:szCs w:val="20"/>
            <w:u w:val="single"/>
            <w:lang w:eastAsia="ja-JP"/>
          </w:rPr>
          <w:t xml:space="preserve"> </w:t>
        </w:r>
        <w:smartTag w:uri="urn:schemas:contacts" w:element="Sn">
          <w:r w:rsidRPr="00F561B3">
            <w:rPr>
              <w:rFonts w:ascii="Cambria Math" w:eastAsia="MS Mincho" w:hAnsi="Cambria Math"/>
              <w:b/>
              <w:bCs/>
              <w:sz w:val="20"/>
              <w:szCs w:val="20"/>
              <w:u w:val="single"/>
              <w:lang w:eastAsia="ja-JP"/>
            </w:rPr>
            <w:t>Hammer</w:t>
          </w:r>
        </w:smartTag>
      </w:smartTag>
      <w:r w:rsidRPr="00F561B3">
        <w:rPr>
          <w:rFonts w:ascii="Cambria Math" w:eastAsia="MS Mincho" w:hAnsi="Cambria Math"/>
          <w:b/>
          <w:bCs/>
          <w:sz w:val="20"/>
          <w:szCs w:val="20"/>
          <w:u w:val="single"/>
          <w:lang w:eastAsia="ja-JP"/>
        </w:rPr>
        <w:t xml:space="preserve"> v. Hair Systems, Inc., Docket No. L-1464-03 (Superior </w:t>
      </w:r>
      <w:smartTag w:uri="urn:schemas-microsoft-com:office:smarttags" w:element="PlaceType">
        <w:r w:rsidRPr="00F561B3">
          <w:rPr>
            <w:rFonts w:ascii="Cambria Math" w:eastAsia="MS Mincho" w:hAnsi="Cambria Math"/>
            <w:b/>
            <w:bCs/>
            <w:sz w:val="20"/>
            <w:szCs w:val="20"/>
            <w:u w:val="single"/>
            <w:lang w:eastAsia="ja-JP"/>
          </w:rPr>
          <w:t>County</w:t>
        </w:r>
      </w:smartTag>
      <w:r w:rsidRPr="00F561B3">
        <w:rPr>
          <w:rFonts w:ascii="Cambria Math" w:eastAsia="MS Mincho" w:hAnsi="Cambria Math"/>
          <w:b/>
          <w:bCs/>
          <w:sz w:val="20"/>
          <w:szCs w:val="20"/>
          <w:u w:val="single"/>
          <w:lang w:eastAsia="ja-JP"/>
        </w:rPr>
        <w:t xml:space="preserve"> of </w:t>
      </w:r>
      <w:smartTag w:uri="urn:schemas-microsoft-com:office:smarttags" w:element="PlaceName">
        <w:r w:rsidRPr="00F561B3">
          <w:rPr>
            <w:rFonts w:ascii="Cambria Math" w:eastAsia="MS Mincho" w:hAnsi="Cambria Math"/>
            <w:b/>
            <w:bCs/>
            <w:sz w:val="20"/>
            <w:szCs w:val="20"/>
            <w:u w:val="single"/>
            <w:lang w:eastAsia="ja-JP"/>
          </w:rPr>
          <w:t>New Jersey</w:t>
        </w:r>
      </w:smartTag>
      <w:r w:rsidRPr="00F561B3">
        <w:rPr>
          <w:rFonts w:ascii="Cambria Math" w:eastAsia="MS Mincho" w:hAnsi="Cambria Math"/>
          <w:b/>
          <w:bCs/>
          <w:sz w:val="20"/>
          <w:szCs w:val="20"/>
          <w:u w:val="single"/>
          <w:lang w:eastAsia="ja-JP"/>
        </w:rPr>
        <w:t xml:space="preserve">, Law </w:t>
      </w:r>
      <w:proofErr w:type="spellStart"/>
      <w:r w:rsidRPr="00F561B3">
        <w:rPr>
          <w:rFonts w:ascii="Cambria Math" w:eastAsia="MS Mincho" w:hAnsi="Cambria Math"/>
          <w:b/>
          <w:bCs/>
          <w:sz w:val="20"/>
          <w:szCs w:val="20"/>
          <w:u w:val="single"/>
          <w:lang w:eastAsia="ja-JP"/>
        </w:rPr>
        <w:t>Div</w:t>
      </w:r>
      <w:proofErr w:type="spellEnd"/>
      <w:r w:rsidRPr="00F561B3">
        <w:rPr>
          <w:rFonts w:ascii="Cambria Math" w:eastAsia="MS Mincho" w:hAnsi="Cambria Math"/>
          <w:b/>
          <w:bCs/>
          <w:sz w:val="20"/>
          <w:szCs w:val="20"/>
          <w:u w:val="single"/>
          <w:lang w:eastAsia="ja-JP"/>
        </w:rPr>
        <w:t xml:space="preserve">: </w:t>
      </w:r>
      <w:smartTag w:uri="urn:schemas-microsoft-com:office:smarttags" w:element="place">
        <w:smartTag w:uri="urn:schemas-microsoft-com:office:smarttags" w:element="PlaceName">
          <w:r w:rsidRPr="00F561B3">
            <w:rPr>
              <w:rFonts w:ascii="Cambria Math" w:eastAsia="MS Mincho" w:hAnsi="Cambria Math"/>
              <w:b/>
              <w:bCs/>
              <w:sz w:val="20"/>
              <w:szCs w:val="20"/>
              <w:u w:val="single"/>
              <w:lang w:eastAsia="ja-JP"/>
            </w:rPr>
            <w:t>Monmouth</w:t>
          </w:r>
        </w:smartTag>
        <w:r w:rsidRPr="00F561B3">
          <w:rPr>
            <w:rFonts w:ascii="Cambria Math" w:eastAsia="MS Mincho" w:hAnsi="Cambria Math"/>
            <w:b/>
            <w:bCs/>
            <w:sz w:val="20"/>
            <w:szCs w:val="20"/>
            <w:u w:val="single"/>
            <w:lang w:eastAsia="ja-JP"/>
          </w:rPr>
          <w:t xml:space="preserve"> </w:t>
        </w:r>
        <w:smartTag w:uri="urn:schemas-microsoft-com:office:smarttags" w:element="PlaceType">
          <w:r w:rsidRPr="00F561B3">
            <w:rPr>
              <w:rFonts w:ascii="Cambria Math" w:eastAsia="MS Mincho" w:hAnsi="Cambria Math"/>
              <w:b/>
              <w:bCs/>
              <w:sz w:val="20"/>
              <w:szCs w:val="20"/>
              <w:u w:val="single"/>
              <w:lang w:eastAsia="ja-JP"/>
            </w:rPr>
            <w:t>County</w:t>
          </w:r>
        </w:smartTag>
      </w:smartTag>
      <w:proofErr w:type="gramStart"/>
      <w:r w:rsidRPr="00F561B3">
        <w:rPr>
          <w:rFonts w:ascii="Cambria Math" w:eastAsia="MS Mincho" w:hAnsi="Cambria Math"/>
          <w:b/>
          <w:bCs/>
          <w:sz w:val="20"/>
          <w:szCs w:val="20"/>
          <w:u w:val="single"/>
          <w:lang w:eastAsia="ja-JP"/>
        </w:rPr>
        <w:t>)-</w:t>
      </w:r>
      <w:proofErr w:type="gramEnd"/>
      <w:r w:rsidRPr="00F561B3">
        <w:rPr>
          <w:rFonts w:ascii="Cambria Math" w:eastAsia="MS Mincho" w:hAnsi="Cambria Math"/>
          <w:b/>
          <w:bCs/>
          <w:sz w:val="20"/>
          <w:szCs w:val="20"/>
          <w:u w:val="single"/>
          <w:lang w:eastAsia="ja-JP"/>
        </w:rPr>
        <w:t xml:space="preserve"> </w:t>
      </w:r>
      <w:r w:rsidRPr="00F561B3">
        <w:rPr>
          <w:rFonts w:ascii="Cambria Math" w:eastAsia="MS Mincho" w:hAnsi="Cambria Math"/>
          <w:sz w:val="20"/>
          <w:szCs w:val="20"/>
          <w:lang w:eastAsia="ja-JP"/>
        </w:rPr>
        <w:t xml:space="preserve"> Served as deposition consultant to depose opposing party’s IT person. Wrote certification opining on opposing experts’ analysis methodology.</w:t>
      </w:r>
    </w:p>
    <w:p w:rsidR="00F561B3" w:rsidRPr="00F561B3" w:rsidRDefault="00F561B3" w:rsidP="00F561B3">
      <w:pPr>
        <w:numPr>
          <w:ilvl w:val="1"/>
          <w:numId w:val="6"/>
        </w:numPr>
        <w:tabs>
          <w:tab w:val="clear" w:pos="1440"/>
          <w:tab w:val="num" w:pos="229"/>
        </w:tabs>
        <w:spacing w:before="60" w:after="60" w:line="240" w:lineRule="auto"/>
        <w:ind w:left="229" w:hanging="229"/>
        <w:jc w:val="both"/>
        <w:rPr>
          <w:rFonts w:ascii="Cambria Math" w:eastAsia="MS Mincho" w:hAnsi="Cambria Math" w:hint="eastAsia"/>
          <w:b/>
          <w:bCs/>
          <w:sz w:val="20"/>
          <w:szCs w:val="20"/>
          <w:u w:val="single"/>
          <w:lang w:eastAsia="ja-JP"/>
        </w:rPr>
      </w:pPr>
      <w:proofErr w:type="spellStart"/>
      <w:r w:rsidRPr="00F561B3">
        <w:rPr>
          <w:rFonts w:ascii="Cambria Math" w:eastAsia="MS Mincho" w:hAnsi="Cambria Math"/>
          <w:b/>
          <w:bCs/>
          <w:sz w:val="20"/>
          <w:szCs w:val="20"/>
          <w:u w:val="single"/>
          <w:lang w:eastAsia="ja-JP"/>
        </w:rPr>
        <w:t>DeSantis</w:t>
      </w:r>
      <w:proofErr w:type="spellEnd"/>
      <w:r w:rsidRPr="00F561B3">
        <w:rPr>
          <w:rFonts w:ascii="Cambria Math" w:eastAsia="MS Mincho" w:hAnsi="Cambria Math"/>
          <w:b/>
          <w:bCs/>
          <w:sz w:val="20"/>
          <w:szCs w:val="20"/>
          <w:u w:val="single"/>
          <w:lang w:eastAsia="ja-JP"/>
        </w:rPr>
        <w:t xml:space="preserve"> v. TFI/EPI, Docket. No. 0CN-C-196-01 (Ch. Div. Ocean County).</w:t>
      </w:r>
      <w:r w:rsidRPr="00F561B3">
        <w:rPr>
          <w:rFonts w:ascii="Cambria Math" w:eastAsia="MS Mincho" w:hAnsi="Cambria Math"/>
          <w:sz w:val="20"/>
          <w:szCs w:val="20"/>
          <w:lang w:eastAsia="ja-JP"/>
        </w:rPr>
        <w:t xml:space="preserve"> – Wrote expert rebuttal report in response to findings and opinions by opposing Computer Forensic firm, Pinkerton Consulting.</w:t>
      </w:r>
    </w:p>
    <w:p w:rsidR="00F561B3" w:rsidRPr="00412EFC" w:rsidRDefault="00F561B3" w:rsidP="00F561B3">
      <w:pPr>
        <w:numPr>
          <w:ilvl w:val="1"/>
          <w:numId w:val="6"/>
        </w:numPr>
        <w:tabs>
          <w:tab w:val="clear" w:pos="1440"/>
          <w:tab w:val="num" w:pos="229"/>
        </w:tabs>
        <w:spacing w:before="60" w:after="60" w:line="240" w:lineRule="auto"/>
        <w:ind w:left="229" w:hanging="229"/>
        <w:jc w:val="both"/>
        <w:rPr>
          <w:rFonts w:ascii="Cambria Math" w:eastAsia="MS Mincho" w:hAnsi="Cambria Math" w:hint="eastAsia"/>
          <w:b/>
          <w:bCs/>
          <w:sz w:val="20"/>
          <w:szCs w:val="20"/>
          <w:u w:val="single"/>
          <w:lang w:eastAsia="ja-JP"/>
        </w:rPr>
      </w:pPr>
      <w:r w:rsidRPr="00F561B3">
        <w:rPr>
          <w:rFonts w:ascii="Cambria Math" w:eastAsia="MS Mincho" w:hAnsi="Cambria Math"/>
          <w:b/>
          <w:bCs/>
          <w:sz w:val="20"/>
          <w:szCs w:val="20"/>
          <w:u w:val="single"/>
          <w:lang w:eastAsia="ja-JP"/>
        </w:rPr>
        <w:t xml:space="preserve">Butler Capital Investments v. </w:t>
      </w:r>
      <w:smartTag w:uri="urn:schemas-microsoft-com:office:smarttags" w:element="PersonName">
        <w:smartTag w:uri="urn:schemas:contacts" w:element="GivenName">
          <w:r w:rsidRPr="00F561B3">
            <w:rPr>
              <w:rFonts w:ascii="Cambria Math" w:eastAsia="MS Mincho" w:hAnsi="Cambria Math"/>
              <w:b/>
              <w:bCs/>
              <w:sz w:val="20"/>
              <w:szCs w:val="20"/>
              <w:u w:val="single"/>
              <w:lang w:eastAsia="ja-JP"/>
            </w:rPr>
            <w:t>William</w:t>
          </w:r>
        </w:smartTag>
        <w:r w:rsidRPr="00F561B3">
          <w:rPr>
            <w:rFonts w:ascii="Cambria Math" w:eastAsia="MS Mincho" w:hAnsi="Cambria Math"/>
            <w:b/>
            <w:bCs/>
            <w:sz w:val="20"/>
            <w:szCs w:val="20"/>
            <w:u w:val="single"/>
            <w:lang w:eastAsia="ja-JP"/>
          </w:rPr>
          <w:t xml:space="preserve"> </w:t>
        </w:r>
        <w:proofErr w:type="spellStart"/>
        <w:smartTag w:uri="urn:schemas:contacts" w:element="middlename">
          <w:r w:rsidRPr="00F561B3">
            <w:rPr>
              <w:rFonts w:ascii="Cambria Math" w:eastAsia="MS Mincho" w:hAnsi="Cambria Math"/>
              <w:b/>
              <w:bCs/>
              <w:sz w:val="20"/>
              <w:szCs w:val="20"/>
              <w:u w:val="single"/>
              <w:lang w:eastAsia="ja-JP"/>
            </w:rPr>
            <w:t>Verner</w:t>
          </w:r>
        </w:smartTag>
        <w:proofErr w:type="spellEnd"/>
        <w:r w:rsidRPr="00F561B3">
          <w:rPr>
            <w:rFonts w:ascii="Cambria Math" w:eastAsia="MS Mincho" w:hAnsi="Cambria Math"/>
            <w:b/>
            <w:bCs/>
            <w:sz w:val="20"/>
            <w:szCs w:val="20"/>
            <w:u w:val="single"/>
            <w:lang w:eastAsia="ja-JP"/>
          </w:rPr>
          <w:t xml:space="preserve"> </w:t>
        </w:r>
        <w:smartTag w:uri="urn:schemas:contacts" w:element="Sn">
          <w:r w:rsidRPr="00F561B3">
            <w:rPr>
              <w:rFonts w:ascii="Cambria Math" w:eastAsia="MS Mincho" w:hAnsi="Cambria Math"/>
              <w:b/>
              <w:bCs/>
              <w:sz w:val="20"/>
              <w:szCs w:val="20"/>
              <w:u w:val="single"/>
              <w:lang w:eastAsia="ja-JP"/>
            </w:rPr>
            <w:t>Daniel</w:t>
          </w:r>
        </w:smartTag>
        <w:r w:rsidRPr="00F561B3">
          <w:rPr>
            <w:rFonts w:ascii="Cambria Math" w:eastAsia="MS Mincho" w:hAnsi="Cambria Math"/>
            <w:b/>
            <w:bCs/>
            <w:sz w:val="20"/>
            <w:szCs w:val="20"/>
            <w:u w:val="single"/>
            <w:lang w:eastAsia="ja-JP"/>
          </w:rPr>
          <w:t xml:space="preserve"> </w:t>
        </w:r>
        <w:smartTag w:uri="urn:schemas:contacts" w:element="nameSuffix">
          <w:r w:rsidRPr="00F561B3">
            <w:rPr>
              <w:rFonts w:ascii="Cambria Math" w:eastAsia="MS Mincho" w:hAnsi="Cambria Math"/>
              <w:b/>
              <w:bCs/>
              <w:sz w:val="20"/>
              <w:szCs w:val="20"/>
              <w:u w:val="single"/>
              <w:lang w:eastAsia="ja-JP"/>
            </w:rPr>
            <w:t>Jr.</w:t>
          </w:r>
        </w:smartTag>
      </w:smartTag>
      <w:r w:rsidRPr="00F561B3">
        <w:rPr>
          <w:rFonts w:ascii="Cambria Math" w:eastAsia="MS Mincho" w:hAnsi="Cambria Math"/>
          <w:b/>
          <w:bCs/>
          <w:sz w:val="20"/>
          <w:szCs w:val="20"/>
          <w:u w:val="single"/>
          <w:lang w:eastAsia="ja-JP"/>
        </w:rPr>
        <w:t xml:space="preserve">, NASD-DR Arbitration No. 05-01792  - </w:t>
      </w:r>
      <w:r w:rsidRPr="00F561B3">
        <w:rPr>
          <w:rFonts w:ascii="Cambria Math" w:eastAsia="MS Mincho" w:hAnsi="Cambria Math"/>
          <w:sz w:val="20"/>
          <w:szCs w:val="20"/>
          <w:lang w:eastAsia="ja-JP"/>
        </w:rPr>
        <w:t>Wrote expert reports that led to extremely favorable settlement for client (BCI)</w:t>
      </w:r>
    </w:p>
    <w:p w:rsidR="00F561B3" w:rsidRPr="00412EFC" w:rsidRDefault="00F561B3" w:rsidP="00412EFC">
      <w:pPr>
        <w:rPr>
          <w:rFonts w:ascii="Cambria Math" w:hAnsi="Cambria Math"/>
        </w:rPr>
      </w:pPr>
      <w:r w:rsidRPr="00412EFC">
        <w:rPr>
          <w:rFonts w:ascii="Cambria Math" w:eastAsia="MS Mincho" w:hAnsi="Cambria Math"/>
          <w:b/>
          <w:bCs/>
          <w:sz w:val="20"/>
          <w:szCs w:val="20"/>
          <w:u w:val="single"/>
          <w:lang w:eastAsia="ja-JP"/>
        </w:rPr>
        <w:t xml:space="preserve">Matter of Investigation of the City of Jersey City (2005) - </w:t>
      </w:r>
      <w:r w:rsidRPr="00412EFC">
        <w:rPr>
          <w:rFonts w:ascii="Cambria Math" w:eastAsia="MS Mincho" w:hAnsi="Cambria Math"/>
          <w:sz w:val="20"/>
          <w:szCs w:val="20"/>
          <w:lang w:eastAsia="ja-JP"/>
        </w:rPr>
        <w:t>Written testimony in the form of affidavit for the attorneys for the City of Jersey City.</w:t>
      </w:r>
    </w:p>
    <w:p w:rsidR="00BA3746" w:rsidRPr="00BA3746" w:rsidRDefault="00BA3746" w:rsidP="00053969">
      <w:pPr>
        <w:spacing w:after="0"/>
        <w:rPr>
          <w:rFonts w:ascii="Times New Roman" w:hAnsi="Times New Roman" w:cs="Times New Roman"/>
        </w:rPr>
      </w:pPr>
    </w:p>
    <w:p w:rsidR="00BA3746" w:rsidRPr="00BA3746" w:rsidRDefault="00BA3746" w:rsidP="00053969">
      <w:pPr>
        <w:spacing w:after="0"/>
        <w:rPr>
          <w:rFonts w:ascii="Times New Roman" w:hAnsi="Times New Roman" w:cs="Times New Roman"/>
        </w:rPr>
      </w:pPr>
    </w:p>
    <w:p w:rsidR="00053969" w:rsidRPr="00B1734E" w:rsidRDefault="009A190F" w:rsidP="00053969">
      <w:pPr>
        <w:spacing w:after="0"/>
        <w:rPr>
          <w:rFonts w:ascii="Times New Roman" w:hAnsi="Times New Roman" w:cs="Times New Roman"/>
          <w:i/>
        </w:rPr>
      </w:pPr>
      <w:r w:rsidRPr="00B1734E">
        <w:rPr>
          <w:rFonts w:ascii="Times New Roman" w:hAnsi="Times New Roman" w:cs="Times New Roman"/>
          <w:i/>
        </w:rPr>
        <w:t>Money Laundering</w:t>
      </w:r>
      <w:r w:rsidR="00606F11">
        <w:rPr>
          <w:rFonts w:ascii="Times New Roman" w:hAnsi="Times New Roman" w:cs="Times New Roman"/>
          <w:i/>
        </w:rPr>
        <w:t xml:space="preserve"> Statutes and Cases</w:t>
      </w:r>
      <w:bookmarkStart w:id="0" w:name="_GoBack"/>
      <w:bookmarkEnd w:id="0"/>
    </w:p>
    <w:p w:rsidR="00BE7B93" w:rsidRPr="00392A90" w:rsidRDefault="002675A2" w:rsidP="007D33F2">
      <w:pPr>
        <w:spacing w:after="0"/>
        <w:rPr>
          <w:rFonts w:ascii="Times New Roman" w:hAnsi="Times New Roman" w:cs="Times New Roman"/>
          <w:b/>
          <w:sz w:val="20"/>
          <w:szCs w:val="20"/>
        </w:rPr>
      </w:pPr>
      <w:r w:rsidRPr="00392A90">
        <w:rPr>
          <w:rFonts w:ascii="Times New Roman" w:hAnsi="Times New Roman" w:cs="Times New Roman"/>
          <w:b/>
          <w:sz w:val="20"/>
          <w:szCs w:val="20"/>
        </w:rPr>
        <w:t xml:space="preserve">Detective Mark Malinowski, </w:t>
      </w:r>
      <w:r w:rsidR="00BE7B93" w:rsidRPr="00392A90">
        <w:rPr>
          <w:rFonts w:ascii="Times New Roman" w:hAnsi="Times New Roman" w:cs="Times New Roman"/>
          <w:b/>
          <w:sz w:val="20"/>
          <w:szCs w:val="20"/>
        </w:rPr>
        <w:t xml:space="preserve">CFE, </w:t>
      </w:r>
      <w:r w:rsidRPr="00392A90">
        <w:rPr>
          <w:rFonts w:ascii="Times New Roman" w:hAnsi="Times New Roman" w:cs="Times New Roman"/>
          <w:b/>
          <w:sz w:val="20"/>
          <w:szCs w:val="20"/>
        </w:rPr>
        <w:t>CAMS</w:t>
      </w:r>
      <w:r w:rsidR="005B7855" w:rsidRPr="00392A90">
        <w:rPr>
          <w:rFonts w:ascii="Times New Roman" w:hAnsi="Times New Roman" w:cs="Times New Roman"/>
          <w:b/>
          <w:sz w:val="20"/>
          <w:szCs w:val="20"/>
        </w:rPr>
        <w:t xml:space="preserve">, </w:t>
      </w:r>
      <w:r w:rsidRPr="00392A90">
        <w:rPr>
          <w:rFonts w:ascii="Times New Roman" w:hAnsi="Times New Roman" w:cs="Times New Roman"/>
          <w:b/>
          <w:sz w:val="20"/>
          <w:szCs w:val="20"/>
        </w:rPr>
        <w:t>Ocean County Prosecutor’s Office</w:t>
      </w:r>
    </w:p>
    <w:p w:rsidR="00392A90" w:rsidRDefault="00392A90" w:rsidP="002865CA">
      <w:pPr>
        <w:spacing w:after="0"/>
        <w:rPr>
          <w:rFonts w:ascii="Times New Roman" w:hAnsi="Times New Roman" w:cs="Times New Roman"/>
          <w:sz w:val="20"/>
          <w:szCs w:val="20"/>
        </w:rPr>
      </w:pPr>
    </w:p>
    <w:p w:rsidR="002675A2" w:rsidRPr="00767841" w:rsidRDefault="002675A2" w:rsidP="002675A2">
      <w:pPr>
        <w:rPr>
          <w:rFonts w:ascii="Times New Roman" w:hAnsi="Times New Roman" w:cs="Times New Roman"/>
          <w:sz w:val="20"/>
          <w:szCs w:val="20"/>
        </w:rPr>
      </w:pPr>
      <w:r w:rsidRPr="00767841">
        <w:rPr>
          <w:rFonts w:ascii="Times New Roman" w:hAnsi="Times New Roman" w:cs="Times New Roman"/>
          <w:sz w:val="20"/>
          <w:szCs w:val="20"/>
        </w:rPr>
        <w:t xml:space="preserve">I am a Detective with the Ocean County Prosecutor's Office assigned to the Special Investigations Unit: Economic Crimes Bureau/Internal Affairs/Corruption. I have been assigned to this unit for over twelve years and have conducted various types of financial investigations ranging from theft by deception, money laundering, organized crime (street gangs and traditional), racketeering, mortgage fraud, insurance fraud, </w:t>
      </w:r>
      <w:proofErr w:type="spellStart"/>
      <w:r w:rsidRPr="00767841">
        <w:rPr>
          <w:rFonts w:ascii="Times New Roman" w:hAnsi="Times New Roman" w:cs="Times New Roman"/>
          <w:sz w:val="20"/>
          <w:szCs w:val="20"/>
        </w:rPr>
        <w:t>ponzi</w:t>
      </w:r>
      <w:proofErr w:type="spellEnd"/>
      <w:r w:rsidRPr="00767841">
        <w:rPr>
          <w:rFonts w:ascii="Times New Roman" w:hAnsi="Times New Roman" w:cs="Times New Roman"/>
          <w:sz w:val="20"/>
          <w:szCs w:val="20"/>
        </w:rPr>
        <w:t xml:space="preserve"> schemes, tax evasion, and embezzlements. I was a member of the Ocean County Regional SWAT team from 2009-2011.</w:t>
      </w:r>
    </w:p>
    <w:p w:rsidR="002675A2" w:rsidRPr="00767841" w:rsidRDefault="002675A2" w:rsidP="002675A2">
      <w:pPr>
        <w:rPr>
          <w:rFonts w:ascii="Times New Roman" w:hAnsi="Times New Roman" w:cs="Times New Roman"/>
          <w:sz w:val="20"/>
          <w:szCs w:val="20"/>
        </w:rPr>
      </w:pPr>
      <w:r w:rsidRPr="00767841">
        <w:rPr>
          <w:rFonts w:ascii="Times New Roman" w:hAnsi="Times New Roman" w:cs="Times New Roman"/>
          <w:sz w:val="20"/>
          <w:szCs w:val="20"/>
        </w:rPr>
        <w:t xml:space="preserve">I earned a Master of Science degree in Financial Fraud and Forensics from </w:t>
      </w:r>
      <w:proofErr w:type="spellStart"/>
      <w:r w:rsidRPr="00767841">
        <w:rPr>
          <w:rFonts w:ascii="Times New Roman" w:hAnsi="Times New Roman" w:cs="Times New Roman"/>
          <w:sz w:val="20"/>
          <w:szCs w:val="20"/>
        </w:rPr>
        <w:t>Carlow</w:t>
      </w:r>
      <w:proofErr w:type="spellEnd"/>
      <w:r w:rsidRPr="00767841">
        <w:rPr>
          <w:rFonts w:ascii="Times New Roman" w:hAnsi="Times New Roman" w:cs="Times New Roman"/>
          <w:sz w:val="20"/>
          <w:szCs w:val="20"/>
        </w:rPr>
        <w:t xml:space="preserve"> University in 2013 and a Bachelor of Science degree in Business Studies with a concentration in Marketing from Richard Stockton College of New Jersey in 2001. I have earned designations as both a Certified Fraud Examiner (CFE) and a Certified Anti-Money Laundering Specialist (CAMS). </w:t>
      </w:r>
    </w:p>
    <w:p w:rsidR="002675A2" w:rsidRPr="00767841" w:rsidRDefault="002675A2" w:rsidP="002675A2">
      <w:pPr>
        <w:rPr>
          <w:rFonts w:ascii="Times New Roman" w:hAnsi="Times New Roman" w:cs="Times New Roman"/>
          <w:sz w:val="20"/>
          <w:szCs w:val="20"/>
        </w:rPr>
      </w:pPr>
      <w:r w:rsidRPr="00767841">
        <w:rPr>
          <w:rFonts w:ascii="Times New Roman" w:hAnsi="Times New Roman" w:cs="Times New Roman"/>
          <w:sz w:val="20"/>
          <w:szCs w:val="20"/>
        </w:rPr>
        <w:t>In addition to the above information, I am a certified State of NJ police instructor who teaches at the Ocean County Police Academy and I have been a guest speaker at several colleges throughout New Jersey on the topics of financial investigations.</w:t>
      </w:r>
    </w:p>
    <w:p w:rsidR="00FD0F62" w:rsidRDefault="00FD0F62" w:rsidP="002675A2">
      <w:pPr>
        <w:rPr>
          <w:rFonts w:ascii="Times New Roman" w:hAnsi="Times New Roman" w:cs="Times New Roman"/>
          <w:i/>
        </w:rPr>
      </w:pPr>
    </w:p>
    <w:p w:rsidR="00FC2EA2" w:rsidRPr="00B72FA2" w:rsidRDefault="00FC2EA2" w:rsidP="0043315C">
      <w:pPr>
        <w:spacing w:after="0"/>
        <w:rPr>
          <w:rFonts w:ascii="Times New Roman" w:hAnsi="Times New Roman" w:cs="Times New Roman"/>
          <w:i/>
        </w:rPr>
      </w:pPr>
      <w:r w:rsidRPr="00B72FA2">
        <w:rPr>
          <w:rFonts w:ascii="Times New Roman" w:hAnsi="Times New Roman" w:cs="Times New Roman"/>
          <w:i/>
        </w:rPr>
        <w:lastRenderedPageBreak/>
        <w:t xml:space="preserve">Bulk Cash Smuggling </w:t>
      </w:r>
    </w:p>
    <w:p w:rsidR="002675A2" w:rsidRDefault="00FC2EA2" w:rsidP="0043315C">
      <w:pPr>
        <w:spacing w:after="0"/>
        <w:rPr>
          <w:rFonts w:ascii="Times New Roman" w:hAnsi="Times New Roman" w:cs="Times New Roman"/>
          <w:b/>
          <w:sz w:val="20"/>
          <w:szCs w:val="20"/>
        </w:rPr>
      </w:pPr>
      <w:r>
        <w:rPr>
          <w:rFonts w:ascii="Times New Roman" w:hAnsi="Times New Roman" w:cs="Times New Roman"/>
          <w:b/>
          <w:sz w:val="20"/>
          <w:szCs w:val="20"/>
        </w:rPr>
        <w:t>Karl E. Dahlberg, CFE, CISA, CPA, Instructor, Rutgers University</w:t>
      </w:r>
    </w:p>
    <w:p w:rsidR="0043315C" w:rsidRPr="00767841" w:rsidRDefault="0043315C" w:rsidP="0043315C">
      <w:pPr>
        <w:spacing w:after="0"/>
        <w:rPr>
          <w:rFonts w:ascii="Times New Roman" w:hAnsi="Times New Roman" w:cs="Times New Roman"/>
          <w:b/>
          <w:sz w:val="20"/>
          <w:szCs w:val="20"/>
        </w:rPr>
      </w:pPr>
    </w:p>
    <w:p w:rsidR="00FC2EA2" w:rsidRPr="00FC2EA2" w:rsidRDefault="00FC2EA2" w:rsidP="00FC2EA2">
      <w:pPr>
        <w:rPr>
          <w:rFonts w:ascii="Times New Roman" w:hAnsi="Times New Roman" w:cs="Times New Roman"/>
          <w:sz w:val="20"/>
          <w:szCs w:val="20"/>
        </w:rPr>
      </w:pPr>
      <w:r w:rsidRPr="00FC2EA2">
        <w:rPr>
          <w:rFonts w:ascii="Times New Roman" w:hAnsi="Times New Roman" w:cs="Times New Roman"/>
          <w:sz w:val="20"/>
          <w:szCs w:val="20"/>
        </w:rPr>
        <w:t>Mr. Dahlberg is currently a Part Time Instructor of Accounting and Information Systems at Rutgers University.  In those capacities, he oversees accounting research projects and instructs accounting information system courses at both the graduate and undergraduate level.  Courses included:  Introduction to Financial Accounting; Introduction to Management Accounting; Cost Accounting; Auditing and Assurance, and Fraud Examination.</w:t>
      </w:r>
    </w:p>
    <w:p w:rsidR="00FC2EA2" w:rsidRPr="00FC2EA2" w:rsidRDefault="00FC2EA2" w:rsidP="00FC2EA2">
      <w:pPr>
        <w:jc w:val="both"/>
        <w:rPr>
          <w:rFonts w:ascii="Times New Roman" w:hAnsi="Times New Roman" w:cs="Times New Roman"/>
          <w:sz w:val="20"/>
          <w:szCs w:val="20"/>
        </w:rPr>
      </w:pPr>
      <w:r w:rsidRPr="00FC2EA2">
        <w:rPr>
          <w:rFonts w:ascii="Times New Roman" w:hAnsi="Times New Roman" w:cs="Times New Roman"/>
          <w:sz w:val="20"/>
          <w:szCs w:val="20"/>
        </w:rPr>
        <w:t xml:space="preserve">Mr. Dahlberg has retired from the Federal Government.  He was formally an Information Technology Specialist at the Northern New Jersey Branch Office of the Defense Contract Audit Agency (DCAA), </w:t>
      </w:r>
      <w:proofErr w:type="spellStart"/>
      <w:r w:rsidRPr="00FC2EA2">
        <w:rPr>
          <w:rFonts w:ascii="Times New Roman" w:hAnsi="Times New Roman" w:cs="Times New Roman"/>
          <w:sz w:val="20"/>
          <w:szCs w:val="20"/>
        </w:rPr>
        <w:t>Picatinny</w:t>
      </w:r>
      <w:proofErr w:type="spellEnd"/>
      <w:r w:rsidRPr="00FC2EA2">
        <w:rPr>
          <w:rFonts w:ascii="Times New Roman" w:hAnsi="Times New Roman" w:cs="Times New Roman"/>
          <w:sz w:val="20"/>
          <w:szCs w:val="20"/>
        </w:rPr>
        <w:t xml:space="preserve"> Arsenal, New Jersey.  In that capacity, he supervised the performance of all information system reviews of Defense Contractors in Northern New Jersey.  The reviews were based on the COSO framework.  The COSO framework became the basis for Section 404 of Sarbanes-Oxley.  His former duties included performance of information system audits on the DCAA Region Staff, Philadelphia, Pa., and DCAA Supervisory Auditor at ITT in Clifton, New Jersey.  Mr. Dahlberg has been in DCAA for 23 years.</w:t>
      </w:r>
    </w:p>
    <w:p w:rsidR="00FC2EA2" w:rsidRPr="00FC2EA2" w:rsidRDefault="00FC2EA2" w:rsidP="00FC2EA2">
      <w:pPr>
        <w:jc w:val="both"/>
        <w:rPr>
          <w:rFonts w:ascii="Times New Roman" w:hAnsi="Times New Roman" w:cs="Times New Roman"/>
          <w:sz w:val="20"/>
          <w:szCs w:val="20"/>
        </w:rPr>
      </w:pPr>
      <w:r w:rsidRPr="00FC2EA2">
        <w:rPr>
          <w:rFonts w:ascii="Times New Roman" w:hAnsi="Times New Roman" w:cs="Times New Roman"/>
          <w:sz w:val="20"/>
          <w:szCs w:val="20"/>
        </w:rPr>
        <w:t xml:space="preserve">Mr. Dahlberg is a Certified Public Accountant in the State of New Jersey, a Certified Fraud Examiner, and a Certified Information Systems Auditor.  He has assisted the U. S. Attorney’s Office with the use of computers and fraud allegations.  He previously served as an Adjunct Professor of Accounting at Kean University, Union, New Jersey.  </w:t>
      </w:r>
    </w:p>
    <w:p w:rsidR="00FC2EA2" w:rsidRPr="00FC2EA2" w:rsidRDefault="00FC2EA2" w:rsidP="00FC2EA2">
      <w:pPr>
        <w:jc w:val="both"/>
        <w:rPr>
          <w:rFonts w:ascii="Times New Roman" w:hAnsi="Times New Roman" w:cs="Times New Roman"/>
          <w:sz w:val="20"/>
          <w:szCs w:val="20"/>
        </w:rPr>
      </w:pPr>
      <w:r w:rsidRPr="00FC2EA2">
        <w:rPr>
          <w:rFonts w:ascii="Times New Roman" w:hAnsi="Times New Roman" w:cs="Times New Roman"/>
          <w:sz w:val="20"/>
          <w:szCs w:val="20"/>
        </w:rPr>
        <w:t>Mr. Dahlberg was involved with Enterprise Resource Planning, Automated Labor Entry and information system control reviews.  He has been involved in Year 2000 Compliance reviews of Defense contractors and has lectured to State government auditors and professional organizations on Sarbanes-Oxley, Year 2000 issues and other system related internal control issues.</w:t>
      </w:r>
    </w:p>
    <w:p w:rsidR="00FC2EA2" w:rsidRPr="00FC2EA2" w:rsidRDefault="00FC2EA2" w:rsidP="00FC2EA2">
      <w:pPr>
        <w:jc w:val="both"/>
        <w:rPr>
          <w:rFonts w:ascii="Times New Roman" w:hAnsi="Times New Roman" w:cs="Times New Roman"/>
          <w:sz w:val="20"/>
          <w:szCs w:val="20"/>
        </w:rPr>
      </w:pPr>
      <w:r w:rsidRPr="00FC2EA2">
        <w:rPr>
          <w:rFonts w:ascii="Times New Roman" w:hAnsi="Times New Roman" w:cs="Times New Roman"/>
          <w:sz w:val="20"/>
          <w:szCs w:val="20"/>
        </w:rPr>
        <w:t xml:space="preserve">Mr. Dahlberg earned his BA in Economics from Chapman University, Orange, California (1976) and his MBA in Accounting from Rutgers GSBA, Newark, New Jersey (1979).  He is a Marine Corps combat veteran of Vietnam where he received the Purple Heart for gunshot wounds while serving as a rifle platoon leader.  He is active in veteran affairs and is the Past Commander, Department of New Jersey, </w:t>
      </w:r>
      <w:proofErr w:type="gramStart"/>
      <w:r w:rsidRPr="00FC2EA2">
        <w:rPr>
          <w:rFonts w:ascii="Times New Roman" w:hAnsi="Times New Roman" w:cs="Times New Roman"/>
          <w:sz w:val="20"/>
          <w:szCs w:val="20"/>
        </w:rPr>
        <w:t>American</w:t>
      </w:r>
      <w:proofErr w:type="gramEnd"/>
      <w:r w:rsidRPr="00FC2EA2">
        <w:rPr>
          <w:rFonts w:ascii="Times New Roman" w:hAnsi="Times New Roman" w:cs="Times New Roman"/>
          <w:sz w:val="20"/>
          <w:szCs w:val="20"/>
        </w:rPr>
        <w:t xml:space="preserve"> Veterans and is currently a tour guide at the New Jersey Vietnam Veterans Memorial.</w:t>
      </w:r>
    </w:p>
    <w:p w:rsidR="00FC2EA2" w:rsidRPr="00FC2EA2" w:rsidRDefault="00FC2EA2" w:rsidP="00FC2EA2">
      <w:pPr>
        <w:jc w:val="both"/>
        <w:rPr>
          <w:rFonts w:ascii="Times New Roman" w:hAnsi="Times New Roman" w:cs="Times New Roman"/>
          <w:sz w:val="20"/>
          <w:szCs w:val="20"/>
        </w:rPr>
      </w:pPr>
      <w:r w:rsidRPr="00FC2EA2">
        <w:rPr>
          <w:rFonts w:ascii="Times New Roman" w:hAnsi="Times New Roman" w:cs="Times New Roman"/>
          <w:sz w:val="20"/>
          <w:szCs w:val="20"/>
        </w:rPr>
        <w:t>Mr. Dahlberg is Past President of the New Jersey Chapter Information Systems Audit and Control Association and has instructed the Certified Information Systems Auditor Examination review course.  Mr. Dahlberg is also the Past President of the Northern New Jersey Chapter of the Association of Government Accountants.  Mr. Dahlberg has also been invited by the American Institute of Certified Public Accountants to grade the CPA Exam as an exam reviewer and the specialist for information technology.  He is currently the President of the New Jersey Chapter of the Association of Certified Fraud Examiners.</w:t>
      </w:r>
    </w:p>
    <w:sectPr w:rsidR="00FC2EA2" w:rsidRPr="00FC2EA2" w:rsidSect="00E41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F417E"/>
    <w:multiLevelType w:val="hybridMultilevel"/>
    <w:tmpl w:val="768C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71335"/>
    <w:multiLevelType w:val="hybridMultilevel"/>
    <w:tmpl w:val="27684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D7992"/>
    <w:multiLevelType w:val="hybridMultilevel"/>
    <w:tmpl w:val="836AE3C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296F75"/>
    <w:multiLevelType w:val="hybridMultilevel"/>
    <w:tmpl w:val="69EC1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BE5420"/>
    <w:multiLevelType w:val="hybridMultilevel"/>
    <w:tmpl w:val="4104A26E"/>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5">
    <w:nsid w:val="75CE38A3"/>
    <w:multiLevelType w:val="hybridMultilevel"/>
    <w:tmpl w:val="22F0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8F251B"/>
    <w:multiLevelType w:val="hybridMultilevel"/>
    <w:tmpl w:val="1BB07C82"/>
    <w:lvl w:ilvl="0" w:tplc="C8002CB2">
      <w:start w:val="1"/>
      <w:numFmt w:val="bullet"/>
      <w:lvlText w:val=""/>
      <w:lvlJc w:val="left"/>
      <w:pPr>
        <w:tabs>
          <w:tab w:val="num" w:pos="720"/>
        </w:tabs>
        <w:ind w:left="720" w:hanging="360"/>
      </w:pPr>
      <w:rPr>
        <w:rFonts w:ascii="Wingdings" w:hAnsi="Wingdings" w:hint="default"/>
      </w:rPr>
    </w:lvl>
    <w:lvl w:ilvl="1" w:tplc="FE3E3AFC">
      <w:start w:val="2425"/>
      <w:numFmt w:val="bullet"/>
      <w:lvlText w:val=""/>
      <w:lvlJc w:val="left"/>
      <w:pPr>
        <w:tabs>
          <w:tab w:val="num" w:pos="1440"/>
        </w:tabs>
        <w:ind w:left="1440" w:hanging="360"/>
      </w:pPr>
      <w:rPr>
        <w:rFonts w:ascii="Wingdings" w:hAnsi="Wingdings" w:hint="default"/>
      </w:rPr>
    </w:lvl>
    <w:lvl w:ilvl="2" w:tplc="687CB3C4" w:tentative="1">
      <w:start w:val="1"/>
      <w:numFmt w:val="bullet"/>
      <w:lvlText w:val=""/>
      <w:lvlJc w:val="left"/>
      <w:pPr>
        <w:tabs>
          <w:tab w:val="num" w:pos="2160"/>
        </w:tabs>
        <w:ind w:left="2160" w:hanging="360"/>
      </w:pPr>
      <w:rPr>
        <w:rFonts w:ascii="Wingdings" w:hAnsi="Wingdings" w:hint="default"/>
      </w:rPr>
    </w:lvl>
    <w:lvl w:ilvl="3" w:tplc="DF8E02B0" w:tentative="1">
      <w:start w:val="1"/>
      <w:numFmt w:val="bullet"/>
      <w:lvlText w:val=""/>
      <w:lvlJc w:val="left"/>
      <w:pPr>
        <w:tabs>
          <w:tab w:val="num" w:pos="2880"/>
        </w:tabs>
        <w:ind w:left="2880" w:hanging="360"/>
      </w:pPr>
      <w:rPr>
        <w:rFonts w:ascii="Wingdings" w:hAnsi="Wingdings" w:hint="default"/>
      </w:rPr>
    </w:lvl>
    <w:lvl w:ilvl="4" w:tplc="557629FC" w:tentative="1">
      <w:start w:val="1"/>
      <w:numFmt w:val="bullet"/>
      <w:lvlText w:val=""/>
      <w:lvlJc w:val="left"/>
      <w:pPr>
        <w:tabs>
          <w:tab w:val="num" w:pos="3600"/>
        </w:tabs>
        <w:ind w:left="3600" w:hanging="360"/>
      </w:pPr>
      <w:rPr>
        <w:rFonts w:ascii="Wingdings" w:hAnsi="Wingdings" w:hint="default"/>
      </w:rPr>
    </w:lvl>
    <w:lvl w:ilvl="5" w:tplc="2D103456" w:tentative="1">
      <w:start w:val="1"/>
      <w:numFmt w:val="bullet"/>
      <w:lvlText w:val=""/>
      <w:lvlJc w:val="left"/>
      <w:pPr>
        <w:tabs>
          <w:tab w:val="num" w:pos="4320"/>
        </w:tabs>
        <w:ind w:left="4320" w:hanging="360"/>
      </w:pPr>
      <w:rPr>
        <w:rFonts w:ascii="Wingdings" w:hAnsi="Wingdings" w:hint="default"/>
      </w:rPr>
    </w:lvl>
    <w:lvl w:ilvl="6" w:tplc="44F82BE8" w:tentative="1">
      <w:start w:val="1"/>
      <w:numFmt w:val="bullet"/>
      <w:lvlText w:val=""/>
      <w:lvlJc w:val="left"/>
      <w:pPr>
        <w:tabs>
          <w:tab w:val="num" w:pos="5040"/>
        </w:tabs>
        <w:ind w:left="5040" w:hanging="360"/>
      </w:pPr>
      <w:rPr>
        <w:rFonts w:ascii="Wingdings" w:hAnsi="Wingdings" w:hint="default"/>
      </w:rPr>
    </w:lvl>
    <w:lvl w:ilvl="7" w:tplc="E38C2D26" w:tentative="1">
      <w:start w:val="1"/>
      <w:numFmt w:val="bullet"/>
      <w:lvlText w:val=""/>
      <w:lvlJc w:val="left"/>
      <w:pPr>
        <w:tabs>
          <w:tab w:val="num" w:pos="5760"/>
        </w:tabs>
        <w:ind w:left="5760" w:hanging="360"/>
      </w:pPr>
      <w:rPr>
        <w:rFonts w:ascii="Wingdings" w:hAnsi="Wingdings" w:hint="default"/>
      </w:rPr>
    </w:lvl>
    <w:lvl w:ilvl="8" w:tplc="7EB686A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5F"/>
    <w:rsid w:val="00004BC0"/>
    <w:rsid w:val="00005704"/>
    <w:rsid w:val="00036B01"/>
    <w:rsid w:val="00050A33"/>
    <w:rsid w:val="00053969"/>
    <w:rsid w:val="0007325F"/>
    <w:rsid w:val="00087095"/>
    <w:rsid w:val="000876A8"/>
    <w:rsid w:val="000C30AA"/>
    <w:rsid w:val="000D6F83"/>
    <w:rsid w:val="00104000"/>
    <w:rsid w:val="00146D17"/>
    <w:rsid w:val="00185695"/>
    <w:rsid w:val="001A4AE3"/>
    <w:rsid w:val="001C5F44"/>
    <w:rsid w:val="001F0654"/>
    <w:rsid w:val="00212CED"/>
    <w:rsid w:val="002149FF"/>
    <w:rsid w:val="00235DA6"/>
    <w:rsid w:val="002675A2"/>
    <w:rsid w:val="002719CF"/>
    <w:rsid w:val="00283D89"/>
    <w:rsid w:val="002865CA"/>
    <w:rsid w:val="002A00AB"/>
    <w:rsid w:val="0031308C"/>
    <w:rsid w:val="00325A9A"/>
    <w:rsid w:val="00331EF8"/>
    <w:rsid w:val="00341F15"/>
    <w:rsid w:val="003550DB"/>
    <w:rsid w:val="00373B47"/>
    <w:rsid w:val="00392A90"/>
    <w:rsid w:val="003A64A1"/>
    <w:rsid w:val="003C5734"/>
    <w:rsid w:val="003D0ACD"/>
    <w:rsid w:val="00410D2F"/>
    <w:rsid w:val="00412EFC"/>
    <w:rsid w:val="0043315C"/>
    <w:rsid w:val="004358D1"/>
    <w:rsid w:val="00447061"/>
    <w:rsid w:val="004712A7"/>
    <w:rsid w:val="004817F4"/>
    <w:rsid w:val="00483F58"/>
    <w:rsid w:val="004E6D4D"/>
    <w:rsid w:val="00543077"/>
    <w:rsid w:val="005455AC"/>
    <w:rsid w:val="00550280"/>
    <w:rsid w:val="00583992"/>
    <w:rsid w:val="005B7855"/>
    <w:rsid w:val="005D3413"/>
    <w:rsid w:val="005D6078"/>
    <w:rsid w:val="005E21A1"/>
    <w:rsid w:val="005F3BC2"/>
    <w:rsid w:val="006007F6"/>
    <w:rsid w:val="00605F14"/>
    <w:rsid w:val="00606F11"/>
    <w:rsid w:val="006222CB"/>
    <w:rsid w:val="0064532F"/>
    <w:rsid w:val="006504E3"/>
    <w:rsid w:val="00672ECE"/>
    <w:rsid w:val="006A3A36"/>
    <w:rsid w:val="006B4F81"/>
    <w:rsid w:val="006C17A2"/>
    <w:rsid w:val="006D6B34"/>
    <w:rsid w:val="006E3106"/>
    <w:rsid w:val="006E6E2D"/>
    <w:rsid w:val="006F3616"/>
    <w:rsid w:val="00752457"/>
    <w:rsid w:val="00761335"/>
    <w:rsid w:val="00767841"/>
    <w:rsid w:val="007956F0"/>
    <w:rsid w:val="007A2184"/>
    <w:rsid w:val="007B3AD1"/>
    <w:rsid w:val="007D33F2"/>
    <w:rsid w:val="007E2C24"/>
    <w:rsid w:val="007E487D"/>
    <w:rsid w:val="00810E53"/>
    <w:rsid w:val="00834453"/>
    <w:rsid w:val="00856D29"/>
    <w:rsid w:val="00871674"/>
    <w:rsid w:val="0090293A"/>
    <w:rsid w:val="009052F2"/>
    <w:rsid w:val="009176B4"/>
    <w:rsid w:val="009A190F"/>
    <w:rsid w:val="009A64B0"/>
    <w:rsid w:val="009B096F"/>
    <w:rsid w:val="009C52DE"/>
    <w:rsid w:val="009D4193"/>
    <w:rsid w:val="009D791C"/>
    <w:rsid w:val="00A02247"/>
    <w:rsid w:val="00A11E24"/>
    <w:rsid w:val="00A60D01"/>
    <w:rsid w:val="00A62C58"/>
    <w:rsid w:val="00A743E1"/>
    <w:rsid w:val="00A972F9"/>
    <w:rsid w:val="00AC37D8"/>
    <w:rsid w:val="00AC5CF7"/>
    <w:rsid w:val="00AF7042"/>
    <w:rsid w:val="00B01345"/>
    <w:rsid w:val="00B01947"/>
    <w:rsid w:val="00B1174A"/>
    <w:rsid w:val="00B1734E"/>
    <w:rsid w:val="00B50312"/>
    <w:rsid w:val="00B55269"/>
    <w:rsid w:val="00B72FA2"/>
    <w:rsid w:val="00B76404"/>
    <w:rsid w:val="00B831D0"/>
    <w:rsid w:val="00B938DC"/>
    <w:rsid w:val="00BA3746"/>
    <w:rsid w:val="00BA7D74"/>
    <w:rsid w:val="00BE7B93"/>
    <w:rsid w:val="00C56672"/>
    <w:rsid w:val="00C61AA2"/>
    <w:rsid w:val="00C65E34"/>
    <w:rsid w:val="00C7030B"/>
    <w:rsid w:val="00CA1223"/>
    <w:rsid w:val="00CB5FD6"/>
    <w:rsid w:val="00CE64BA"/>
    <w:rsid w:val="00D05752"/>
    <w:rsid w:val="00D24613"/>
    <w:rsid w:val="00D40CD5"/>
    <w:rsid w:val="00D82D15"/>
    <w:rsid w:val="00D941AE"/>
    <w:rsid w:val="00DA1ECC"/>
    <w:rsid w:val="00DA60C0"/>
    <w:rsid w:val="00DB05C0"/>
    <w:rsid w:val="00DC0636"/>
    <w:rsid w:val="00DD1166"/>
    <w:rsid w:val="00E24443"/>
    <w:rsid w:val="00E418B6"/>
    <w:rsid w:val="00E50DCF"/>
    <w:rsid w:val="00E6067E"/>
    <w:rsid w:val="00E86897"/>
    <w:rsid w:val="00EB6CB8"/>
    <w:rsid w:val="00EB6F29"/>
    <w:rsid w:val="00EC7435"/>
    <w:rsid w:val="00ED1617"/>
    <w:rsid w:val="00ED2E20"/>
    <w:rsid w:val="00EE12F5"/>
    <w:rsid w:val="00EF6D73"/>
    <w:rsid w:val="00F06136"/>
    <w:rsid w:val="00F141E1"/>
    <w:rsid w:val="00F15763"/>
    <w:rsid w:val="00F319CF"/>
    <w:rsid w:val="00F36B62"/>
    <w:rsid w:val="00F43D16"/>
    <w:rsid w:val="00F55506"/>
    <w:rsid w:val="00F561B3"/>
    <w:rsid w:val="00F869A2"/>
    <w:rsid w:val="00F97717"/>
    <w:rsid w:val="00FA3BBB"/>
    <w:rsid w:val="00FB45C1"/>
    <w:rsid w:val="00FC2EA2"/>
    <w:rsid w:val="00FC515A"/>
    <w:rsid w:val="00FD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nameSuffix"/>
  <w:smartTagType w:namespaceuri="urn:schemas:contacts" w:name="middlename"/>
  <w:smartTagType w:namespaceuri="urn:schemas-microsoft-com:office:smarttags" w:name="PersonName"/>
  <w:smartTagType w:namespaceuri="urn:schemas:contacts" w:name="Sn"/>
  <w:smartTagType w:namespaceuri="urn:schemas:contacts" w:name="Give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45BDD57-05F9-493B-BC76-573CD2DE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ECE"/>
    <w:rPr>
      <w:color w:val="0000FF" w:themeColor="hyperlink"/>
      <w:u w:val="single"/>
    </w:rPr>
  </w:style>
  <w:style w:type="paragraph" w:styleId="BalloonText">
    <w:name w:val="Balloon Text"/>
    <w:basedOn w:val="Normal"/>
    <w:link w:val="BalloonTextChar"/>
    <w:uiPriority w:val="99"/>
    <w:semiHidden/>
    <w:unhideWhenUsed/>
    <w:rsid w:val="00BA7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D74"/>
    <w:rPr>
      <w:rFonts w:ascii="Tahoma" w:hAnsi="Tahoma" w:cs="Tahoma"/>
      <w:sz w:val="16"/>
      <w:szCs w:val="16"/>
    </w:rPr>
  </w:style>
  <w:style w:type="character" w:customStyle="1" w:styleId="apple-style-span">
    <w:name w:val="apple-style-span"/>
    <w:basedOn w:val="DefaultParagraphFont"/>
    <w:rsid w:val="00F97717"/>
  </w:style>
  <w:style w:type="character" w:customStyle="1" w:styleId="apple-converted-space">
    <w:name w:val="apple-converted-space"/>
    <w:basedOn w:val="DefaultParagraphFont"/>
    <w:rsid w:val="00F97717"/>
  </w:style>
  <w:style w:type="paragraph" w:styleId="BodyText">
    <w:name w:val="Body Text"/>
    <w:basedOn w:val="Normal"/>
    <w:link w:val="BodyTextChar"/>
    <w:rsid w:val="00550280"/>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550280"/>
    <w:rPr>
      <w:rFonts w:ascii="Arial" w:eastAsia="Times New Roman" w:hAnsi="Arial" w:cs="Times New Roman"/>
      <w:sz w:val="24"/>
      <w:szCs w:val="20"/>
    </w:rPr>
  </w:style>
  <w:style w:type="paragraph" w:styleId="Title">
    <w:name w:val="Title"/>
    <w:basedOn w:val="Normal"/>
    <w:link w:val="TitleChar"/>
    <w:qFormat/>
    <w:rsid w:val="00550280"/>
    <w:pPr>
      <w:spacing w:after="0" w:line="240" w:lineRule="auto"/>
      <w:jc w:val="center"/>
      <w:outlineLvl w:val="0"/>
    </w:pPr>
    <w:rPr>
      <w:rFonts w:ascii="Arial" w:eastAsia="Times New Roman" w:hAnsi="Arial" w:cs="Times New Roman"/>
      <w:b/>
      <w:sz w:val="24"/>
      <w:szCs w:val="20"/>
    </w:rPr>
  </w:style>
  <w:style w:type="character" w:customStyle="1" w:styleId="TitleChar">
    <w:name w:val="Title Char"/>
    <w:basedOn w:val="DefaultParagraphFont"/>
    <w:link w:val="Title"/>
    <w:rsid w:val="00550280"/>
    <w:rPr>
      <w:rFonts w:ascii="Arial" w:eastAsia="Times New Roman" w:hAnsi="Arial" w:cs="Times New Roman"/>
      <w:b/>
      <w:sz w:val="24"/>
      <w:szCs w:val="20"/>
    </w:rPr>
  </w:style>
  <w:style w:type="paragraph" w:styleId="ListParagraph">
    <w:name w:val="List Paragraph"/>
    <w:basedOn w:val="Normal"/>
    <w:uiPriority w:val="34"/>
    <w:qFormat/>
    <w:rsid w:val="00053969"/>
    <w:pPr>
      <w:ind w:left="720"/>
      <w:contextualSpacing/>
    </w:pPr>
  </w:style>
  <w:style w:type="paragraph" w:styleId="BodyText2">
    <w:name w:val="Body Text 2"/>
    <w:basedOn w:val="Normal"/>
    <w:link w:val="BodyText2Char"/>
    <w:uiPriority w:val="99"/>
    <w:semiHidden/>
    <w:unhideWhenUsed/>
    <w:rsid w:val="00767841"/>
    <w:pPr>
      <w:spacing w:after="120" w:line="480" w:lineRule="auto"/>
    </w:pPr>
  </w:style>
  <w:style w:type="character" w:customStyle="1" w:styleId="BodyText2Char">
    <w:name w:val="Body Text 2 Char"/>
    <w:basedOn w:val="DefaultParagraphFont"/>
    <w:link w:val="BodyText2"/>
    <w:uiPriority w:val="99"/>
    <w:semiHidden/>
    <w:rsid w:val="00767841"/>
  </w:style>
  <w:style w:type="paragraph" w:styleId="NormalWeb">
    <w:name w:val="Normal (Web)"/>
    <w:basedOn w:val="Normal"/>
    <w:semiHidden/>
    <w:rsid w:val="00A972F9"/>
    <w:pPr>
      <w:spacing w:before="100" w:beforeAutospacing="1" w:after="100" w:afterAutospacing="1" w:line="240" w:lineRule="auto"/>
    </w:pPr>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30655">
      <w:bodyDiv w:val="1"/>
      <w:marLeft w:val="0"/>
      <w:marRight w:val="0"/>
      <w:marTop w:val="0"/>
      <w:marBottom w:val="0"/>
      <w:divBdr>
        <w:top w:val="none" w:sz="0" w:space="0" w:color="auto"/>
        <w:left w:val="none" w:sz="0" w:space="0" w:color="auto"/>
        <w:bottom w:val="none" w:sz="0" w:space="0" w:color="auto"/>
        <w:right w:val="none" w:sz="0" w:space="0" w:color="auto"/>
      </w:divBdr>
    </w:div>
    <w:div w:id="17451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ingmarket.org" TargetMode="External"/><Relationship Id="rId3" Type="http://schemas.openxmlformats.org/officeDocument/2006/relationships/settings" Target="settings.xml"/><Relationship Id="rId7" Type="http://schemas.openxmlformats.org/officeDocument/2006/relationships/hyperlink" Target="mailto:Dahlberg@andromeda.rutger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w.rutgers.edu/9frau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Acct</dc:creator>
  <cp:lastModifiedBy>Rodriguez, Angeline</cp:lastModifiedBy>
  <cp:revision>46</cp:revision>
  <cp:lastPrinted>2014-05-12T20:28:00Z</cp:lastPrinted>
  <dcterms:created xsi:type="dcterms:W3CDTF">2014-05-12T19:04:00Z</dcterms:created>
  <dcterms:modified xsi:type="dcterms:W3CDTF">2014-05-13T15:27:00Z</dcterms:modified>
</cp:coreProperties>
</file>