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74" w:rsidRDefault="00BA7D74" w:rsidP="00185695">
      <w:pPr>
        <w:spacing w:after="0" w:line="240" w:lineRule="auto"/>
        <w:jc w:val="center"/>
        <w:rPr>
          <w:b/>
          <w:sz w:val="24"/>
          <w:szCs w:val="24"/>
        </w:rPr>
      </w:pPr>
      <w:bookmarkStart w:id="0" w:name="_GoBack"/>
      <w:bookmarkEnd w:id="0"/>
      <w:r>
        <w:rPr>
          <w:noProof/>
        </w:rPr>
        <w:drawing>
          <wp:inline distT="0" distB="0" distL="0" distR="0">
            <wp:extent cx="2432050" cy="890684"/>
            <wp:effectExtent l="0" t="0" r="0" b="0"/>
            <wp:docPr id="10" name="Picture 1" descr="RU_SIG_RBSNNB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SNNB_CMYK_S"/>
                    <pic:cNvPicPr>
                      <a:picLocks noChangeAspect="1" noChangeArrowheads="1"/>
                    </pic:cNvPicPr>
                  </pic:nvPicPr>
                  <pic:blipFill>
                    <a:blip r:embed="rId8" cstate="print"/>
                    <a:srcRect/>
                    <a:stretch>
                      <a:fillRect/>
                    </a:stretch>
                  </pic:blipFill>
                  <pic:spPr bwMode="auto">
                    <a:xfrm>
                      <a:off x="0" y="0"/>
                      <a:ext cx="2436914" cy="892465"/>
                    </a:xfrm>
                    <a:prstGeom prst="rect">
                      <a:avLst/>
                    </a:prstGeom>
                    <a:noFill/>
                    <a:ln w="9525">
                      <a:noFill/>
                      <a:miter lim="800000"/>
                      <a:headEnd/>
                      <a:tailEnd/>
                    </a:ln>
                  </pic:spPr>
                </pic:pic>
              </a:graphicData>
            </a:graphic>
          </wp:inline>
        </w:drawing>
      </w:r>
    </w:p>
    <w:p w:rsidR="00185695" w:rsidRPr="005C380E" w:rsidRDefault="00FE4E1E" w:rsidP="006504E3">
      <w:pPr>
        <w:spacing w:after="0" w:line="240" w:lineRule="auto"/>
        <w:jc w:val="center"/>
        <w:rPr>
          <w:b/>
          <w:i/>
          <w:color w:val="000000" w:themeColor="text1"/>
          <w:sz w:val="28"/>
          <w:szCs w:val="28"/>
        </w:rPr>
      </w:pPr>
      <w:r w:rsidRPr="005C380E">
        <w:rPr>
          <w:b/>
          <w:color w:val="000000" w:themeColor="text1"/>
          <w:sz w:val="24"/>
          <w:szCs w:val="24"/>
        </w:rPr>
        <w:t>1</w:t>
      </w:r>
      <w:r w:rsidR="001911F6" w:rsidRPr="005C380E">
        <w:rPr>
          <w:b/>
          <w:color w:val="000000" w:themeColor="text1"/>
          <w:sz w:val="24"/>
          <w:szCs w:val="24"/>
        </w:rPr>
        <w:t>1</w:t>
      </w:r>
      <w:r w:rsidR="006504E3" w:rsidRPr="00A0689C">
        <w:rPr>
          <w:b/>
          <w:color w:val="000000" w:themeColor="text1"/>
          <w:sz w:val="24"/>
          <w:szCs w:val="24"/>
          <w:vertAlign w:val="superscript"/>
        </w:rPr>
        <w:t>th</w:t>
      </w:r>
      <w:r w:rsidR="00DC0636" w:rsidRPr="005C380E">
        <w:rPr>
          <w:b/>
          <w:i/>
          <w:color w:val="000000" w:themeColor="text1"/>
          <w:sz w:val="28"/>
          <w:szCs w:val="28"/>
        </w:rPr>
        <w:t xml:space="preserve"> Fraud Conference</w:t>
      </w:r>
    </w:p>
    <w:p w:rsidR="00185695" w:rsidRPr="005C380E" w:rsidRDefault="00ED0F1E" w:rsidP="00185695">
      <w:pPr>
        <w:spacing w:after="0" w:line="240" w:lineRule="auto"/>
        <w:jc w:val="center"/>
        <w:rPr>
          <w:b/>
          <w:color w:val="000000" w:themeColor="text1"/>
          <w:sz w:val="28"/>
          <w:szCs w:val="28"/>
        </w:rPr>
      </w:pPr>
      <w:r w:rsidRPr="00413200">
        <w:rPr>
          <w:b/>
          <w:color w:val="000000" w:themeColor="text1"/>
          <w:sz w:val="28"/>
          <w:szCs w:val="28"/>
        </w:rPr>
        <w:t>Thursday,</w:t>
      </w:r>
      <w:r>
        <w:rPr>
          <w:b/>
          <w:color w:val="000000" w:themeColor="text1"/>
          <w:sz w:val="28"/>
          <w:szCs w:val="28"/>
        </w:rPr>
        <w:t xml:space="preserve"> </w:t>
      </w:r>
      <w:r w:rsidR="009A190F" w:rsidRPr="005C380E">
        <w:rPr>
          <w:b/>
          <w:color w:val="000000" w:themeColor="text1"/>
          <w:sz w:val="28"/>
          <w:szCs w:val="28"/>
        </w:rPr>
        <w:t>J</w:t>
      </w:r>
      <w:r w:rsidR="001911F6" w:rsidRPr="005C380E">
        <w:rPr>
          <w:b/>
          <w:color w:val="000000" w:themeColor="text1"/>
          <w:sz w:val="28"/>
          <w:szCs w:val="28"/>
        </w:rPr>
        <w:t>u</w:t>
      </w:r>
      <w:r w:rsidR="00FE4E1E" w:rsidRPr="005C380E">
        <w:rPr>
          <w:b/>
          <w:color w:val="000000" w:themeColor="text1"/>
          <w:sz w:val="28"/>
          <w:szCs w:val="28"/>
        </w:rPr>
        <w:t>n</w:t>
      </w:r>
      <w:r w:rsidR="001911F6" w:rsidRPr="005C380E">
        <w:rPr>
          <w:b/>
          <w:color w:val="000000" w:themeColor="text1"/>
          <w:sz w:val="28"/>
          <w:szCs w:val="28"/>
        </w:rPr>
        <w:t>e</w:t>
      </w:r>
      <w:r w:rsidR="00BA3746" w:rsidRPr="005C380E">
        <w:rPr>
          <w:b/>
          <w:color w:val="000000" w:themeColor="text1"/>
          <w:sz w:val="28"/>
          <w:szCs w:val="28"/>
        </w:rPr>
        <w:t xml:space="preserve"> </w:t>
      </w:r>
      <w:r w:rsidR="00FE4E1E" w:rsidRPr="005C380E">
        <w:rPr>
          <w:b/>
          <w:color w:val="000000" w:themeColor="text1"/>
          <w:sz w:val="28"/>
          <w:szCs w:val="28"/>
        </w:rPr>
        <w:t>2</w:t>
      </w:r>
      <w:r w:rsidR="001911F6" w:rsidRPr="005C380E">
        <w:rPr>
          <w:b/>
          <w:color w:val="000000" w:themeColor="text1"/>
          <w:sz w:val="28"/>
          <w:szCs w:val="28"/>
        </w:rPr>
        <w:t>5</w:t>
      </w:r>
      <w:r w:rsidR="00BA3746" w:rsidRPr="005C380E">
        <w:rPr>
          <w:b/>
          <w:color w:val="000000" w:themeColor="text1"/>
          <w:sz w:val="28"/>
          <w:szCs w:val="28"/>
        </w:rPr>
        <w:t>,</w:t>
      </w:r>
      <w:r w:rsidR="00DC0636" w:rsidRPr="005C380E">
        <w:rPr>
          <w:b/>
          <w:color w:val="000000" w:themeColor="text1"/>
          <w:sz w:val="28"/>
          <w:szCs w:val="28"/>
        </w:rPr>
        <w:t xml:space="preserve"> 201</w:t>
      </w:r>
      <w:r w:rsidR="00FE4E1E" w:rsidRPr="005C380E">
        <w:rPr>
          <w:b/>
          <w:color w:val="000000" w:themeColor="text1"/>
          <w:sz w:val="28"/>
          <w:szCs w:val="28"/>
        </w:rPr>
        <w:t>5</w:t>
      </w:r>
    </w:p>
    <w:p w:rsidR="00F43D16" w:rsidRPr="00810E53" w:rsidRDefault="00602BF5" w:rsidP="00185695">
      <w:pPr>
        <w:spacing w:after="0" w:line="240" w:lineRule="auto"/>
        <w:jc w:val="center"/>
        <w:rPr>
          <w:b/>
          <w:sz w:val="28"/>
          <w:szCs w:val="28"/>
        </w:rPr>
      </w:pPr>
      <w:hyperlink r:id="rId9" w:history="1">
        <w:r w:rsidR="00FE4E1E" w:rsidRPr="00095235">
          <w:rPr>
            <w:rStyle w:val="Hyperlink"/>
            <w:b/>
            <w:sz w:val="28"/>
            <w:szCs w:val="28"/>
          </w:rPr>
          <w:t>raw.rutgers.edu/1</w:t>
        </w:r>
        <w:r w:rsidR="001911F6">
          <w:rPr>
            <w:rStyle w:val="Hyperlink"/>
            <w:b/>
            <w:sz w:val="28"/>
            <w:szCs w:val="28"/>
          </w:rPr>
          <w:t>1</w:t>
        </w:r>
        <w:r w:rsidR="00FE4E1E" w:rsidRPr="00095235">
          <w:rPr>
            <w:rStyle w:val="Hyperlink"/>
            <w:b/>
            <w:sz w:val="28"/>
            <w:szCs w:val="28"/>
          </w:rPr>
          <w:t>fraud</w:t>
        </w:r>
      </w:hyperlink>
      <w:r w:rsidR="00F43D16" w:rsidRPr="00810E53">
        <w:rPr>
          <w:b/>
          <w:sz w:val="28"/>
          <w:szCs w:val="28"/>
        </w:rPr>
        <w:t xml:space="preserve"> </w:t>
      </w:r>
    </w:p>
    <w:p w:rsidR="00BA7D74" w:rsidRDefault="00BA7D74" w:rsidP="00185695">
      <w:pPr>
        <w:spacing w:after="0" w:line="240" w:lineRule="auto"/>
        <w:jc w:val="center"/>
        <w:rPr>
          <w:b/>
          <w:sz w:val="24"/>
          <w:szCs w:val="24"/>
        </w:rPr>
      </w:pPr>
    </w:p>
    <w:p w:rsidR="00B42214" w:rsidRDefault="00B42214" w:rsidP="00185695">
      <w:pPr>
        <w:spacing w:after="0" w:line="240" w:lineRule="auto"/>
        <w:jc w:val="center"/>
        <w:rPr>
          <w:b/>
          <w:sz w:val="24"/>
          <w:szCs w:val="24"/>
        </w:rPr>
      </w:pPr>
    </w:p>
    <w:p w:rsidR="00185695" w:rsidRPr="005C380E" w:rsidRDefault="00185695" w:rsidP="00845C30">
      <w:pPr>
        <w:spacing w:after="0" w:line="240" w:lineRule="auto"/>
        <w:jc w:val="both"/>
        <w:rPr>
          <w:color w:val="000000" w:themeColor="text1"/>
          <w:sz w:val="20"/>
          <w:szCs w:val="20"/>
        </w:rPr>
      </w:pPr>
      <w:r w:rsidRPr="005C380E">
        <w:rPr>
          <w:color w:val="000000" w:themeColor="text1"/>
          <w:sz w:val="20"/>
          <w:szCs w:val="20"/>
        </w:rPr>
        <w:t xml:space="preserve">The New Jersey Chapter of Association of Certified Fraud Examiners </w:t>
      </w:r>
      <w:r w:rsidR="00D0387F" w:rsidRPr="005C380E">
        <w:rPr>
          <w:color w:val="000000" w:themeColor="text1"/>
          <w:sz w:val="20"/>
          <w:szCs w:val="20"/>
        </w:rPr>
        <w:t xml:space="preserve">(ACFE) </w:t>
      </w:r>
      <w:r w:rsidRPr="005C380E">
        <w:rPr>
          <w:color w:val="000000" w:themeColor="text1"/>
          <w:sz w:val="20"/>
          <w:szCs w:val="20"/>
        </w:rPr>
        <w:t xml:space="preserve">is co-sponsoring a Fraud Conference with the Rutgers Business School. This event offers a unique forum to discuss emerging issues in the area of Fraud with experts and an outstanding opportunity to earn reasonable CPE credits in today’s economic </w:t>
      </w:r>
      <w:r w:rsidR="002A00AB" w:rsidRPr="005C380E">
        <w:rPr>
          <w:color w:val="000000" w:themeColor="text1"/>
          <w:sz w:val="20"/>
          <w:szCs w:val="20"/>
        </w:rPr>
        <w:t>times. The event will be held</w:t>
      </w:r>
      <w:r w:rsidRPr="005C380E">
        <w:rPr>
          <w:color w:val="000000" w:themeColor="text1"/>
          <w:sz w:val="20"/>
          <w:szCs w:val="20"/>
        </w:rPr>
        <w:t xml:space="preserve"> on </w:t>
      </w:r>
      <w:r w:rsidR="00BA3746" w:rsidRPr="005C380E">
        <w:rPr>
          <w:color w:val="000000" w:themeColor="text1"/>
          <w:sz w:val="20"/>
          <w:szCs w:val="20"/>
        </w:rPr>
        <w:t>J</w:t>
      </w:r>
      <w:r w:rsidR="001911F6" w:rsidRPr="005C380E">
        <w:rPr>
          <w:color w:val="000000" w:themeColor="text1"/>
          <w:sz w:val="20"/>
          <w:szCs w:val="20"/>
        </w:rPr>
        <w:t>u</w:t>
      </w:r>
      <w:r w:rsidR="00FE4E1E" w:rsidRPr="005C380E">
        <w:rPr>
          <w:color w:val="000000" w:themeColor="text1"/>
          <w:sz w:val="20"/>
          <w:szCs w:val="20"/>
        </w:rPr>
        <w:t>n</w:t>
      </w:r>
      <w:r w:rsidR="001911F6" w:rsidRPr="005C380E">
        <w:rPr>
          <w:color w:val="000000" w:themeColor="text1"/>
          <w:sz w:val="20"/>
          <w:szCs w:val="20"/>
        </w:rPr>
        <w:t>e</w:t>
      </w:r>
      <w:r w:rsidR="009A190F" w:rsidRPr="005C380E">
        <w:rPr>
          <w:color w:val="000000" w:themeColor="text1"/>
          <w:sz w:val="20"/>
          <w:szCs w:val="20"/>
        </w:rPr>
        <w:t xml:space="preserve"> </w:t>
      </w:r>
      <w:r w:rsidR="00FE4E1E" w:rsidRPr="005C380E">
        <w:rPr>
          <w:color w:val="000000" w:themeColor="text1"/>
          <w:sz w:val="20"/>
          <w:szCs w:val="20"/>
        </w:rPr>
        <w:t>2</w:t>
      </w:r>
      <w:r w:rsidR="001911F6" w:rsidRPr="005C380E">
        <w:rPr>
          <w:color w:val="000000" w:themeColor="text1"/>
          <w:sz w:val="20"/>
          <w:szCs w:val="20"/>
        </w:rPr>
        <w:t>5</w:t>
      </w:r>
      <w:r w:rsidR="009A190F" w:rsidRPr="005C380E">
        <w:rPr>
          <w:color w:val="000000" w:themeColor="text1"/>
          <w:sz w:val="20"/>
          <w:szCs w:val="20"/>
        </w:rPr>
        <w:t>, 201</w:t>
      </w:r>
      <w:r w:rsidR="00FE4E1E" w:rsidRPr="005C380E">
        <w:rPr>
          <w:color w:val="000000" w:themeColor="text1"/>
          <w:sz w:val="20"/>
          <w:szCs w:val="20"/>
        </w:rPr>
        <w:t>5</w:t>
      </w:r>
      <w:r w:rsidRPr="005C380E">
        <w:rPr>
          <w:color w:val="000000" w:themeColor="text1"/>
          <w:sz w:val="20"/>
          <w:szCs w:val="20"/>
        </w:rPr>
        <w:t xml:space="preserve"> at the Rutgers Business School located at One Washington Park, Room </w:t>
      </w:r>
      <w:r w:rsidR="001911F6" w:rsidRPr="005C380E">
        <w:rPr>
          <w:color w:val="000000" w:themeColor="text1"/>
          <w:sz w:val="20"/>
          <w:szCs w:val="20"/>
        </w:rPr>
        <w:t>512</w:t>
      </w:r>
      <w:r w:rsidRPr="005C380E">
        <w:rPr>
          <w:color w:val="000000" w:themeColor="text1"/>
          <w:sz w:val="20"/>
          <w:szCs w:val="20"/>
        </w:rPr>
        <w:t>, Newark, New Jersey,</w:t>
      </w:r>
      <w:r w:rsidR="00410D2F" w:rsidRPr="005C380E">
        <w:rPr>
          <w:color w:val="000000" w:themeColor="text1"/>
          <w:sz w:val="20"/>
          <w:szCs w:val="20"/>
        </w:rPr>
        <w:t xml:space="preserve"> 07102,</w:t>
      </w:r>
      <w:r w:rsidRPr="005C380E">
        <w:rPr>
          <w:color w:val="000000" w:themeColor="text1"/>
          <w:sz w:val="20"/>
          <w:szCs w:val="20"/>
        </w:rPr>
        <w:t xml:space="preserve"> from 8:00 am to 4:30 pm.</w:t>
      </w:r>
      <w:r w:rsidR="00AC2BB7" w:rsidRPr="005C380E">
        <w:rPr>
          <w:color w:val="000000" w:themeColor="text1"/>
          <w:sz w:val="20"/>
          <w:szCs w:val="20"/>
        </w:rPr>
        <w:t xml:space="preserve"> Parking is available at numerous lots at the </w:t>
      </w:r>
      <w:r w:rsidR="00EF4F41" w:rsidRPr="005C380E">
        <w:rPr>
          <w:color w:val="000000" w:themeColor="text1"/>
          <w:sz w:val="20"/>
          <w:szCs w:val="20"/>
        </w:rPr>
        <w:t>individual’s</w:t>
      </w:r>
      <w:r w:rsidR="00AC2BB7" w:rsidRPr="005C380E">
        <w:rPr>
          <w:color w:val="000000" w:themeColor="text1"/>
          <w:sz w:val="20"/>
          <w:szCs w:val="20"/>
        </w:rPr>
        <w:t xml:space="preserve"> expense.</w:t>
      </w:r>
    </w:p>
    <w:p w:rsidR="00185695" w:rsidRPr="005C380E" w:rsidRDefault="00185695" w:rsidP="00845C30">
      <w:pPr>
        <w:spacing w:after="0" w:line="240" w:lineRule="auto"/>
        <w:jc w:val="both"/>
        <w:rPr>
          <w:color w:val="000000" w:themeColor="text1"/>
          <w:sz w:val="20"/>
          <w:szCs w:val="20"/>
        </w:rPr>
      </w:pPr>
    </w:p>
    <w:p w:rsidR="00185695" w:rsidRPr="005C380E" w:rsidRDefault="00EF6484" w:rsidP="00845C30">
      <w:pPr>
        <w:spacing w:after="0" w:line="240" w:lineRule="auto"/>
        <w:jc w:val="both"/>
        <w:rPr>
          <w:color w:val="000000" w:themeColor="text1"/>
          <w:sz w:val="20"/>
          <w:szCs w:val="20"/>
        </w:rPr>
      </w:pPr>
      <w:r w:rsidRPr="00413200">
        <w:rPr>
          <w:color w:val="000000" w:themeColor="text1"/>
          <w:sz w:val="20"/>
          <w:szCs w:val="20"/>
        </w:rPr>
        <w:t>Conference</w:t>
      </w:r>
      <w:r>
        <w:rPr>
          <w:color w:val="000000" w:themeColor="text1"/>
          <w:sz w:val="20"/>
          <w:szCs w:val="20"/>
        </w:rPr>
        <w:t xml:space="preserve"> a</w:t>
      </w:r>
      <w:r w:rsidR="00185695" w:rsidRPr="005C380E">
        <w:rPr>
          <w:color w:val="000000" w:themeColor="text1"/>
          <w:sz w:val="20"/>
          <w:szCs w:val="20"/>
        </w:rPr>
        <w:t>ttendees will receive</w:t>
      </w:r>
      <w:r w:rsidR="00BA3746" w:rsidRPr="005C380E">
        <w:rPr>
          <w:color w:val="000000" w:themeColor="text1"/>
          <w:sz w:val="20"/>
          <w:szCs w:val="20"/>
        </w:rPr>
        <w:t xml:space="preserve"> an estimated</w:t>
      </w:r>
      <w:r w:rsidR="00185695" w:rsidRPr="005C380E">
        <w:rPr>
          <w:color w:val="000000" w:themeColor="text1"/>
          <w:sz w:val="20"/>
          <w:szCs w:val="20"/>
        </w:rPr>
        <w:t xml:space="preserve"> eight (8) CPE credits </w:t>
      </w:r>
      <w:r w:rsidR="00BA3746" w:rsidRPr="005C380E">
        <w:rPr>
          <w:color w:val="000000" w:themeColor="text1"/>
          <w:sz w:val="20"/>
          <w:szCs w:val="20"/>
        </w:rPr>
        <w:t>in Auditing</w:t>
      </w:r>
      <w:r>
        <w:rPr>
          <w:color w:val="000000" w:themeColor="text1"/>
          <w:sz w:val="20"/>
          <w:szCs w:val="20"/>
        </w:rPr>
        <w:t xml:space="preserve">.  </w:t>
      </w:r>
    </w:p>
    <w:p w:rsidR="005B7855" w:rsidRPr="005C380E" w:rsidRDefault="005B7855" w:rsidP="00845C30">
      <w:pPr>
        <w:spacing w:after="0" w:line="240" w:lineRule="auto"/>
        <w:jc w:val="both"/>
        <w:rPr>
          <w:color w:val="000000" w:themeColor="text1"/>
          <w:sz w:val="20"/>
          <w:szCs w:val="20"/>
        </w:rPr>
      </w:pPr>
      <w:r w:rsidRPr="005C380E">
        <w:rPr>
          <w:color w:val="000000" w:themeColor="text1"/>
          <w:sz w:val="20"/>
          <w:szCs w:val="20"/>
        </w:rPr>
        <w:t xml:space="preserve">NASBA </w:t>
      </w:r>
      <w:r w:rsidR="002A00AB" w:rsidRPr="005C380E">
        <w:rPr>
          <w:color w:val="000000" w:themeColor="text1"/>
          <w:sz w:val="20"/>
          <w:szCs w:val="20"/>
        </w:rPr>
        <w:t>Sponsor Identification #</w:t>
      </w:r>
      <w:r w:rsidRPr="005C380E">
        <w:rPr>
          <w:color w:val="000000" w:themeColor="text1"/>
          <w:sz w:val="20"/>
          <w:szCs w:val="20"/>
        </w:rPr>
        <w:t>116231</w:t>
      </w:r>
    </w:p>
    <w:p w:rsidR="00EF4F41" w:rsidRPr="005C380E" w:rsidRDefault="00EF4F41" w:rsidP="00845C30">
      <w:pPr>
        <w:spacing w:after="0" w:line="240" w:lineRule="auto"/>
        <w:jc w:val="both"/>
        <w:rPr>
          <w:color w:val="000000" w:themeColor="text1"/>
          <w:sz w:val="20"/>
          <w:szCs w:val="20"/>
        </w:rPr>
      </w:pPr>
    </w:p>
    <w:p w:rsidR="00185695" w:rsidRPr="005C380E" w:rsidRDefault="00185695" w:rsidP="00845C30">
      <w:pPr>
        <w:spacing w:after="0" w:line="240" w:lineRule="auto"/>
        <w:jc w:val="both"/>
        <w:rPr>
          <w:color w:val="000000" w:themeColor="text1"/>
          <w:sz w:val="20"/>
          <w:szCs w:val="20"/>
        </w:rPr>
      </w:pPr>
      <w:r w:rsidRPr="005C380E">
        <w:rPr>
          <w:color w:val="000000" w:themeColor="text1"/>
          <w:sz w:val="20"/>
          <w:szCs w:val="20"/>
        </w:rPr>
        <w:t>The cost for the event is as follows:</w:t>
      </w:r>
    </w:p>
    <w:p w:rsidR="00185695" w:rsidRPr="005C380E" w:rsidRDefault="00185695" w:rsidP="00845C30">
      <w:pPr>
        <w:spacing w:after="0" w:line="240" w:lineRule="auto"/>
        <w:jc w:val="both"/>
        <w:rPr>
          <w:color w:val="000000" w:themeColor="text1"/>
          <w:sz w:val="20"/>
          <w:szCs w:val="20"/>
        </w:rPr>
      </w:pPr>
      <w:r w:rsidRPr="005C380E">
        <w:rPr>
          <w:color w:val="000000" w:themeColor="text1"/>
          <w:sz w:val="20"/>
          <w:szCs w:val="20"/>
        </w:rPr>
        <w:t xml:space="preserve">$150 for ACFE </w:t>
      </w:r>
      <w:r w:rsidR="00DA60C0" w:rsidRPr="005C380E">
        <w:rPr>
          <w:color w:val="000000" w:themeColor="text1"/>
          <w:sz w:val="20"/>
          <w:szCs w:val="20"/>
        </w:rPr>
        <w:t>/ISACA</w:t>
      </w:r>
      <w:r w:rsidR="00005704" w:rsidRPr="005C380E">
        <w:rPr>
          <w:color w:val="000000" w:themeColor="text1"/>
          <w:sz w:val="20"/>
          <w:szCs w:val="20"/>
        </w:rPr>
        <w:t>/AGA</w:t>
      </w:r>
      <w:r w:rsidR="00DA60C0" w:rsidRPr="005C380E">
        <w:rPr>
          <w:color w:val="000000" w:themeColor="text1"/>
          <w:sz w:val="20"/>
          <w:szCs w:val="20"/>
        </w:rPr>
        <w:t xml:space="preserve"> </w:t>
      </w:r>
      <w:r w:rsidRPr="005C380E">
        <w:rPr>
          <w:color w:val="000000" w:themeColor="text1"/>
          <w:sz w:val="20"/>
          <w:szCs w:val="20"/>
        </w:rPr>
        <w:t>members with a minimum of 48 hours advanced reservation.</w:t>
      </w:r>
    </w:p>
    <w:p w:rsidR="00185695" w:rsidRPr="005C380E" w:rsidRDefault="00185695" w:rsidP="00845C30">
      <w:pPr>
        <w:spacing w:after="0" w:line="240" w:lineRule="auto"/>
        <w:jc w:val="both"/>
        <w:rPr>
          <w:color w:val="000000" w:themeColor="text1"/>
          <w:sz w:val="20"/>
          <w:szCs w:val="20"/>
        </w:rPr>
      </w:pPr>
      <w:r w:rsidRPr="005C380E">
        <w:rPr>
          <w:color w:val="000000" w:themeColor="text1"/>
          <w:sz w:val="20"/>
          <w:szCs w:val="20"/>
        </w:rPr>
        <w:t>$175 for ACFE</w:t>
      </w:r>
      <w:r w:rsidR="00DA60C0" w:rsidRPr="005C380E">
        <w:rPr>
          <w:color w:val="000000" w:themeColor="text1"/>
          <w:sz w:val="20"/>
          <w:szCs w:val="20"/>
        </w:rPr>
        <w:t>/ISACA</w:t>
      </w:r>
      <w:r w:rsidR="00005704" w:rsidRPr="005C380E">
        <w:rPr>
          <w:color w:val="000000" w:themeColor="text1"/>
          <w:sz w:val="20"/>
          <w:szCs w:val="20"/>
        </w:rPr>
        <w:t>/AGA</w:t>
      </w:r>
      <w:r w:rsidRPr="005C380E">
        <w:rPr>
          <w:color w:val="000000" w:themeColor="text1"/>
          <w:sz w:val="20"/>
          <w:szCs w:val="20"/>
        </w:rPr>
        <w:t xml:space="preserve"> members with no prior reservation.</w:t>
      </w:r>
    </w:p>
    <w:p w:rsidR="00185695" w:rsidRPr="005C380E" w:rsidRDefault="00185695" w:rsidP="00845C30">
      <w:pPr>
        <w:spacing w:after="0" w:line="240" w:lineRule="auto"/>
        <w:jc w:val="both"/>
        <w:rPr>
          <w:color w:val="000000" w:themeColor="text1"/>
          <w:sz w:val="20"/>
          <w:szCs w:val="20"/>
        </w:rPr>
      </w:pPr>
      <w:r w:rsidRPr="005C380E">
        <w:rPr>
          <w:color w:val="000000" w:themeColor="text1"/>
          <w:sz w:val="20"/>
          <w:szCs w:val="20"/>
        </w:rPr>
        <w:t>$175 for non-ACFE</w:t>
      </w:r>
      <w:r w:rsidR="00005704" w:rsidRPr="005C380E">
        <w:rPr>
          <w:color w:val="000000" w:themeColor="text1"/>
          <w:sz w:val="20"/>
          <w:szCs w:val="20"/>
        </w:rPr>
        <w:t>/ISACA/AGA</w:t>
      </w:r>
      <w:r w:rsidRPr="005C380E">
        <w:rPr>
          <w:color w:val="000000" w:themeColor="text1"/>
          <w:sz w:val="20"/>
          <w:szCs w:val="20"/>
        </w:rPr>
        <w:t xml:space="preserve"> members with a minimum of 48 hours advanced reservation.</w:t>
      </w:r>
    </w:p>
    <w:p w:rsidR="00185695" w:rsidRPr="005C380E" w:rsidRDefault="00185695" w:rsidP="00845C30">
      <w:pPr>
        <w:spacing w:after="0" w:line="240" w:lineRule="auto"/>
        <w:jc w:val="both"/>
        <w:rPr>
          <w:color w:val="000000" w:themeColor="text1"/>
          <w:sz w:val="20"/>
          <w:szCs w:val="20"/>
        </w:rPr>
      </w:pPr>
      <w:r w:rsidRPr="005C380E">
        <w:rPr>
          <w:color w:val="000000" w:themeColor="text1"/>
          <w:sz w:val="20"/>
          <w:szCs w:val="20"/>
        </w:rPr>
        <w:t>$200 for non-ACFE</w:t>
      </w:r>
      <w:r w:rsidR="00005704" w:rsidRPr="005C380E">
        <w:rPr>
          <w:color w:val="000000" w:themeColor="text1"/>
          <w:sz w:val="20"/>
          <w:szCs w:val="20"/>
        </w:rPr>
        <w:t>/ISACA/AGA</w:t>
      </w:r>
      <w:r w:rsidRPr="005C380E">
        <w:rPr>
          <w:color w:val="000000" w:themeColor="text1"/>
          <w:sz w:val="20"/>
          <w:szCs w:val="20"/>
        </w:rPr>
        <w:t xml:space="preserve"> members with no prior reservation. </w:t>
      </w:r>
    </w:p>
    <w:p w:rsidR="00672ECE" w:rsidRPr="005C380E" w:rsidRDefault="00672ECE" w:rsidP="00845C30">
      <w:pPr>
        <w:spacing w:after="0" w:line="240" w:lineRule="auto"/>
        <w:jc w:val="both"/>
        <w:rPr>
          <w:color w:val="000000" w:themeColor="text1"/>
          <w:sz w:val="20"/>
          <w:szCs w:val="20"/>
        </w:rPr>
      </w:pPr>
    </w:p>
    <w:p w:rsidR="00672ECE" w:rsidRPr="00EF4F41" w:rsidRDefault="00672ECE" w:rsidP="00845C30">
      <w:pPr>
        <w:spacing w:after="0" w:line="240" w:lineRule="auto"/>
        <w:jc w:val="both"/>
        <w:rPr>
          <w:rStyle w:val="Hyperlink"/>
          <w:sz w:val="20"/>
          <w:szCs w:val="20"/>
        </w:rPr>
      </w:pPr>
      <w:r w:rsidRPr="005C380E">
        <w:rPr>
          <w:color w:val="000000" w:themeColor="text1"/>
          <w:sz w:val="20"/>
          <w:szCs w:val="20"/>
        </w:rPr>
        <w:t xml:space="preserve">All checks will be collected at the door and should be made payable to “Rutgers-The State University”. </w:t>
      </w:r>
      <w:r w:rsidR="00EF4F41" w:rsidRPr="005C380E">
        <w:rPr>
          <w:color w:val="000000" w:themeColor="text1"/>
          <w:sz w:val="20"/>
          <w:szCs w:val="20"/>
        </w:rPr>
        <w:t xml:space="preserve"> </w:t>
      </w:r>
      <w:r w:rsidRPr="005C380E">
        <w:rPr>
          <w:color w:val="000000" w:themeColor="text1"/>
          <w:sz w:val="20"/>
          <w:szCs w:val="20"/>
        </w:rPr>
        <w:t xml:space="preserve">No credit cards will be accepted. </w:t>
      </w:r>
      <w:r w:rsidR="00EF4F41" w:rsidRPr="005C380E">
        <w:rPr>
          <w:color w:val="000000" w:themeColor="text1"/>
          <w:sz w:val="20"/>
          <w:szCs w:val="20"/>
        </w:rPr>
        <w:t xml:space="preserve"> </w:t>
      </w:r>
      <w:r w:rsidRPr="005C380E">
        <w:rPr>
          <w:color w:val="000000" w:themeColor="text1"/>
          <w:sz w:val="20"/>
          <w:szCs w:val="20"/>
        </w:rPr>
        <w:t>To make a reservation, email the attached registration form to Professor Karl Dahlberg, Rutgers Business School, Department of Accounting &amp; Information Systems at</w:t>
      </w:r>
      <w:r w:rsidRPr="00EF4F41">
        <w:rPr>
          <w:sz w:val="20"/>
          <w:szCs w:val="20"/>
        </w:rPr>
        <w:t xml:space="preserve"> </w:t>
      </w:r>
      <w:hyperlink r:id="rId10" w:history="1">
        <w:r w:rsidRPr="00EF4F41">
          <w:rPr>
            <w:rStyle w:val="Hyperlink"/>
            <w:sz w:val="20"/>
            <w:szCs w:val="20"/>
          </w:rPr>
          <w:t>Dahlberg@andromeda.rutgers.edu</w:t>
        </w:r>
      </w:hyperlink>
      <w:r w:rsidR="002B2CCA" w:rsidRPr="00EF4F41">
        <w:rPr>
          <w:sz w:val="20"/>
          <w:szCs w:val="20"/>
        </w:rPr>
        <w:t>.</w:t>
      </w:r>
    </w:p>
    <w:p w:rsidR="00672ECE" w:rsidRPr="00EF4F41" w:rsidRDefault="00672ECE" w:rsidP="00845C30">
      <w:pPr>
        <w:spacing w:after="0" w:line="240" w:lineRule="auto"/>
        <w:jc w:val="both"/>
        <w:rPr>
          <w:sz w:val="20"/>
          <w:szCs w:val="20"/>
        </w:rPr>
      </w:pPr>
    </w:p>
    <w:p w:rsidR="003C5734" w:rsidRPr="005C380E" w:rsidRDefault="003C5734" w:rsidP="00845C30">
      <w:pPr>
        <w:spacing w:after="0" w:line="240" w:lineRule="auto"/>
        <w:jc w:val="both"/>
        <w:rPr>
          <w:color w:val="000000" w:themeColor="text1"/>
          <w:sz w:val="20"/>
          <w:szCs w:val="20"/>
        </w:rPr>
      </w:pPr>
      <w:r w:rsidRPr="005C380E">
        <w:rPr>
          <w:color w:val="000000" w:themeColor="text1"/>
          <w:sz w:val="20"/>
          <w:szCs w:val="20"/>
        </w:rPr>
        <w:t xml:space="preserve">Intended </w:t>
      </w:r>
      <w:r w:rsidR="002B2CCA" w:rsidRPr="005C380E">
        <w:rPr>
          <w:color w:val="000000" w:themeColor="text1"/>
          <w:sz w:val="20"/>
          <w:szCs w:val="20"/>
        </w:rPr>
        <w:t>A</w:t>
      </w:r>
      <w:r w:rsidRPr="005C380E">
        <w:rPr>
          <w:color w:val="000000" w:themeColor="text1"/>
          <w:sz w:val="20"/>
          <w:szCs w:val="20"/>
        </w:rPr>
        <w:t>udience</w:t>
      </w:r>
      <w:r w:rsidR="00D0387F" w:rsidRPr="005C380E">
        <w:rPr>
          <w:color w:val="000000" w:themeColor="text1"/>
          <w:sz w:val="20"/>
          <w:szCs w:val="20"/>
        </w:rPr>
        <w:t xml:space="preserve">:  </w:t>
      </w:r>
      <w:r w:rsidRPr="005C380E">
        <w:rPr>
          <w:color w:val="000000" w:themeColor="text1"/>
          <w:sz w:val="20"/>
          <w:szCs w:val="20"/>
        </w:rPr>
        <w:t>CPAs, Fraud Examiners, and professionals with an interest in ethics, fraud and computer systems.</w:t>
      </w:r>
    </w:p>
    <w:p w:rsidR="003C5734" w:rsidRPr="005C380E" w:rsidRDefault="003C5734" w:rsidP="00845C30">
      <w:pPr>
        <w:spacing w:after="0" w:line="240" w:lineRule="auto"/>
        <w:jc w:val="both"/>
        <w:rPr>
          <w:color w:val="000000" w:themeColor="text1"/>
          <w:sz w:val="20"/>
          <w:szCs w:val="20"/>
        </w:rPr>
      </w:pPr>
    </w:p>
    <w:p w:rsidR="002A00AB" w:rsidRPr="005C380E" w:rsidRDefault="002A00AB" w:rsidP="00845C30">
      <w:pPr>
        <w:spacing w:after="0" w:line="240" w:lineRule="auto"/>
        <w:jc w:val="both"/>
        <w:rPr>
          <w:color w:val="000000" w:themeColor="text1"/>
          <w:sz w:val="20"/>
          <w:szCs w:val="20"/>
        </w:rPr>
      </w:pPr>
      <w:r w:rsidRPr="005C380E">
        <w:rPr>
          <w:color w:val="000000" w:themeColor="text1"/>
          <w:sz w:val="20"/>
          <w:szCs w:val="20"/>
        </w:rPr>
        <w:t xml:space="preserve">Program </w:t>
      </w:r>
      <w:r w:rsidR="002B2CCA" w:rsidRPr="005C380E">
        <w:rPr>
          <w:color w:val="000000" w:themeColor="text1"/>
          <w:sz w:val="20"/>
          <w:szCs w:val="20"/>
        </w:rPr>
        <w:t>D</w:t>
      </w:r>
      <w:r w:rsidRPr="005C380E">
        <w:rPr>
          <w:color w:val="000000" w:themeColor="text1"/>
          <w:sz w:val="20"/>
          <w:szCs w:val="20"/>
        </w:rPr>
        <w:t>escription</w:t>
      </w:r>
      <w:r w:rsidR="00D0387F" w:rsidRPr="005C380E">
        <w:rPr>
          <w:color w:val="000000" w:themeColor="text1"/>
          <w:sz w:val="20"/>
          <w:szCs w:val="20"/>
        </w:rPr>
        <w:t xml:space="preserve">:  </w:t>
      </w:r>
      <w:r w:rsidR="006D0AAD" w:rsidRPr="005C380E">
        <w:rPr>
          <w:color w:val="000000" w:themeColor="text1"/>
          <w:sz w:val="20"/>
          <w:szCs w:val="20"/>
        </w:rPr>
        <w:t>P</w:t>
      </w:r>
      <w:r w:rsidRPr="005C380E">
        <w:rPr>
          <w:color w:val="000000" w:themeColor="text1"/>
          <w:sz w:val="20"/>
          <w:szCs w:val="20"/>
        </w:rPr>
        <w:t>rofessionally</w:t>
      </w:r>
      <w:r w:rsidR="00D47A4C">
        <w:rPr>
          <w:color w:val="000000" w:themeColor="text1"/>
          <w:sz w:val="20"/>
          <w:szCs w:val="20"/>
        </w:rPr>
        <w:t>-</w:t>
      </w:r>
      <w:r w:rsidRPr="005C380E">
        <w:rPr>
          <w:color w:val="000000" w:themeColor="text1"/>
          <w:sz w:val="20"/>
          <w:szCs w:val="20"/>
        </w:rPr>
        <w:t xml:space="preserve">qualified speakers </w:t>
      </w:r>
      <w:r w:rsidR="006D0AAD" w:rsidRPr="005C380E">
        <w:rPr>
          <w:color w:val="000000" w:themeColor="text1"/>
          <w:sz w:val="20"/>
          <w:szCs w:val="20"/>
        </w:rPr>
        <w:t xml:space="preserve">will </w:t>
      </w:r>
      <w:r w:rsidRPr="005C380E">
        <w:rPr>
          <w:color w:val="000000" w:themeColor="text1"/>
          <w:sz w:val="20"/>
          <w:szCs w:val="20"/>
        </w:rPr>
        <w:t xml:space="preserve">present various </w:t>
      </w:r>
      <w:r w:rsidR="006D0AAD" w:rsidRPr="005C380E">
        <w:rPr>
          <w:color w:val="000000" w:themeColor="text1"/>
          <w:sz w:val="20"/>
          <w:szCs w:val="20"/>
        </w:rPr>
        <w:t xml:space="preserve">fraud </w:t>
      </w:r>
      <w:r w:rsidRPr="005C380E">
        <w:rPr>
          <w:color w:val="000000" w:themeColor="text1"/>
          <w:sz w:val="20"/>
          <w:szCs w:val="20"/>
        </w:rPr>
        <w:t>topics of current interest</w:t>
      </w:r>
      <w:r w:rsidR="006D0AAD" w:rsidRPr="005C380E">
        <w:rPr>
          <w:color w:val="000000" w:themeColor="text1"/>
          <w:sz w:val="20"/>
          <w:szCs w:val="20"/>
        </w:rPr>
        <w:t>.</w:t>
      </w:r>
    </w:p>
    <w:p w:rsidR="002A00AB" w:rsidRPr="005C380E" w:rsidRDefault="002A00AB" w:rsidP="00845C30">
      <w:pPr>
        <w:spacing w:after="0" w:line="240" w:lineRule="auto"/>
        <w:jc w:val="both"/>
        <w:rPr>
          <w:color w:val="000000" w:themeColor="text1"/>
          <w:sz w:val="20"/>
          <w:szCs w:val="20"/>
        </w:rPr>
      </w:pPr>
    </w:p>
    <w:p w:rsidR="00046EC4" w:rsidRPr="005C380E" w:rsidRDefault="00046EC4" w:rsidP="00845C30">
      <w:pPr>
        <w:spacing w:after="0" w:line="240" w:lineRule="auto"/>
        <w:jc w:val="both"/>
        <w:rPr>
          <w:color w:val="000000" w:themeColor="text1"/>
          <w:sz w:val="20"/>
          <w:szCs w:val="20"/>
        </w:rPr>
      </w:pPr>
      <w:r w:rsidRPr="005C380E">
        <w:rPr>
          <w:color w:val="000000" w:themeColor="text1"/>
          <w:sz w:val="20"/>
          <w:szCs w:val="20"/>
        </w:rPr>
        <w:t xml:space="preserve">Learning </w:t>
      </w:r>
      <w:r w:rsidR="006D0AAD" w:rsidRPr="005C380E">
        <w:rPr>
          <w:color w:val="000000" w:themeColor="text1"/>
          <w:sz w:val="20"/>
          <w:szCs w:val="20"/>
        </w:rPr>
        <w:t>O</w:t>
      </w:r>
      <w:r w:rsidRPr="005C380E">
        <w:rPr>
          <w:color w:val="000000" w:themeColor="text1"/>
          <w:sz w:val="20"/>
          <w:szCs w:val="20"/>
        </w:rPr>
        <w:t>bjectives:</w:t>
      </w:r>
      <w:r w:rsidR="006D0AAD" w:rsidRPr="005C380E">
        <w:rPr>
          <w:color w:val="000000" w:themeColor="text1"/>
          <w:sz w:val="20"/>
          <w:szCs w:val="20"/>
        </w:rPr>
        <w:t xml:space="preserve"> </w:t>
      </w:r>
      <w:r w:rsidRPr="005C380E">
        <w:rPr>
          <w:color w:val="000000" w:themeColor="text1"/>
          <w:sz w:val="20"/>
          <w:szCs w:val="20"/>
        </w:rPr>
        <w:t xml:space="preserve"> </w:t>
      </w:r>
      <w:r w:rsidR="006D0AAD" w:rsidRPr="005C380E">
        <w:rPr>
          <w:color w:val="000000" w:themeColor="text1"/>
          <w:sz w:val="20"/>
          <w:szCs w:val="20"/>
        </w:rPr>
        <w:t>T</w:t>
      </w:r>
      <w:r w:rsidRPr="005C380E">
        <w:rPr>
          <w:color w:val="000000" w:themeColor="text1"/>
          <w:sz w:val="20"/>
          <w:szCs w:val="20"/>
        </w:rPr>
        <w:t>o provide updated information in the following areas:</w:t>
      </w:r>
    </w:p>
    <w:p w:rsidR="00046EC4" w:rsidRPr="005B6F75" w:rsidRDefault="005B6F75" w:rsidP="003B2BB1">
      <w:pPr>
        <w:pStyle w:val="ListParagraph"/>
        <w:numPr>
          <w:ilvl w:val="0"/>
          <w:numId w:val="13"/>
        </w:numPr>
        <w:spacing w:after="0"/>
        <w:ind w:left="360"/>
        <w:jc w:val="both"/>
        <w:rPr>
          <w:bCs/>
          <w:iCs/>
          <w:color w:val="000000" w:themeColor="text1"/>
          <w:sz w:val="20"/>
          <w:szCs w:val="20"/>
        </w:rPr>
      </w:pPr>
      <w:r w:rsidRPr="005B6F75">
        <w:rPr>
          <w:bCs/>
          <w:iCs/>
          <w:color w:val="000000" w:themeColor="text1"/>
          <w:sz w:val="20"/>
          <w:szCs w:val="20"/>
        </w:rPr>
        <w:t>Preventing, Detecting, Investigating and Remediating Corporate Fraud</w:t>
      </w:r>
    </w:p>
    <w:p w:rsidR="005B6F75" w:rsidRPr="005B6F75" w:rsidRDefault="005B6F75" w:rsidP="003B2BB1">
      <w:pPr>
        <w:pStyle w:val="ListParagraph"/>
        <w:numPr>
          <w:ilvl w:val="0"/>
          <w:numId w:val="13"/>
        </w:numPr>
        <w:spacing w:after="0"/>
        <w:ind w:left="360"/>
        <w:jc w:val="both"/>
        <w:rPr>
          <w:bCs/>
          <w:iCs/>
          <w:color w:val="000000" w:themeColor="text1"/>
          <w:sz w:val="20"/>
          <w:szCs w:val="20"/>
        </w:rPr>
      </w:pPr>
      <w:r w:rsidRPr="005B6F75">
        <w:rPr>
          <w:bCs/>
          <w:iCs/>
          <w:color w:val="000000" w:themeColor="text1"/>
          <w:sz w:val="20"/>
          <w:szCs w:val="20"/>
        </w:rPr>
        <w:t>The Investigative Audit</w:t>
      </w:r>
    </w:p>
    <w:p w:rsidR="005B6F75" w:rsidRPr="005B6F75" w:rsidRDefault="005B6F75" w:rsidP="003B2BB1">
      <w:pPr>
        <w:pStyle w:val="ListParagraph"/>
        <w:numPr>
          <w:ilvl w:val="0"/>
          <w:numId w:val="13"/>
        </w:numPr>
        <w:spacing w:after="0"/>
        <w:ind w:left="360"/>
        <w:jc w:val="both"/>
        <w:rPr>
          <w:bCs/>
          <w:iCs/>
          <w:color w:val="000000" w:themeColor="text1"/>
          <w:sz w:val="20"/>
          <w:szCs w:val="20"/>
        </w:rPr>
      </w:pPr>
      <w:r w:rsidRPr="005B6F75">
        <w:rPr>
          <w:bCs/>
          <w:iCs/>
          <w:color w:val="000000" w:themeColor="text1"/>
          <w:sz w:val="20"/>
          <w:szCs w:val="20"/>
        </w:rPr>
        <w:t>Assessing for Audit Risk</w:t>
      </w:r>
    </w:p>
    <w:p w:rsidR="005B6F75" w:rsidRPr="005B6F75" w:rsidRDefault="005B6F75" w:rsidP="003B2BB1">
      <w:pPr>
        <w:pStyle w:val="ListParagraph"/>
        <w:numPr>
          <w:ilvl w:val="0"/>
          <w:numId w:val="13"/>
        </w:numPr>
        <w:spacing w:after="0"/>
        <w:ind w:left="360"/>
        <w:jc w:val="both"/>
        <w:rPr>
          <w:bCs/>
          <w:iCs/>
          <w:color w:val="000000" w:themeColor="text1"/>
          <w:sz w:val="20"/>
          <w:szCs w:val="20"/>
        </w:rPr>
      </w:pPr>
      <w:r w:rsidRPr="005B6F75">
        <w:rPr>
          <w:bCs/>
          <w:iCs/>
          <w:color w:val="000000" w:themeColor="text1"/>
          <w:sz w:val="20"/>
          <w:szCs w:val="20"/>
        </w:rPr>
        <w:t>Case Studies on Ponzi Schemes</w:t>
      </w:r>
    </w:p>
    <w:p w:rsidR="00C4064B" w:rsidRDefault="00C4064B" w:rsidP="00845C30">
      <w:pPr>
        <w:spacing w:after="0"/>
        <w:jc w:val="both"/>
        <w:rPr>
          <w:bCs/>
          <w:iCs/>
          <w:color w:val="000000" w:themeColor="text1"/>
          <w:sz w:val="20"/>
          <w:szCs w:val="20"/>
        </w:rPr>
      </w:pPr>
    </w:p>
    <w:p w:rsidR="000E7EAC" w:rsidRDefault="000E7EAC" w:rsidP="00C4064B">
      <w:pPr>
        <w:spacing w:after="0" w:line="240" w:lineRule="auto"/>
        <w:jc w:val="both"/>
        <w:rPr>
          <w:color w:val="000000" w:themeColor="text1"/>
          <w:sz w:val="20"/>
          <w:szCs w:val="20"/>
        </w:rPr>
      </w:pPr>
    </w:p>
    <w:p w:rsidR="00C4064B" w:rsidRPr="005C380E" w:rsidRDefault="00C4064B" w:rsidP="00C4064B">
      <w:pPr>
        <w:spacing w:after="0" w:line="240" w:lineRule="auto"/>
        <w:jc w:val="both"/>
        <w:rPr>
          <w:color w:val="000000" w:themeColor="text1"/>
          <w:sz w:val="20"/>
          <w:szCs w:val="20"/>
        </w:rPr>
      </w:pPr>
      <w:r w:rsidRPr="005C380E">
        <w:rPr>
          <w:color w:val="000000" w:themeColor="text1"/>
          <w:sz w:val="20"/>
          <w:szCs w:val="20"/>
        </w:rPr>
        <w:t>Delivery Method:  Group live</w:t>
      </w:r>
    </w:p>
    <w:p w:rsidR="00C4064B" w:rsidRPr="005C380E" w:rsidRDefault="00C4064B" w:rsidP="00C4064B">
      <w:pPr>
        <w:spacing w:after="0" w:line="240" w:lineRule="auto"/>
        <w:jc w:val="both"/>
        <w:rPr>
          <w:color w:val="000000" w:themeColor="text1"/>
          <w:sz w:val="20"/>
          <w:szCs w:val="20"/>
        </w:rPr>
      </w:pPr>
      <w:r w:rsidRPr="005C380E">
        <w:rPr>
          <w:color w:val="000000" w:themeColor="text1"/>
          <w:sz w:val="20"/>
          <w:szCs w:val="20"/>
        </w:rPr>
        <w:t>Program Level:  Update</w:t>
      </w:r>
    </w:p>
    <w:p w:rsidR="00C4064B" w:rsidRPr="005C380E" w:rsidRDefault="00C4064B" w:rsidP="00C4064B">
      <w:pPr>
        <w:spacing w:after="0" w:line="240" w:lineRule="auto"/>
        <w:jc w:val="both"/>
        <w:rPr>
          <w:color w:val="000000" w:themeColor="text1"/>
          <w:sz w:val="20"/>
          <w:szCs w:val="20"/>
        </w:rPr>
      </w:pPr>
      <w:r w:rsidRPr="005C380E">
        <w:rPr>
          <w:color w:val="000000" w:themeColor="text1"/>
          <w:sz w:val="20"/>
          <w:szCs w:val="20"/>
        </w:rPr>
        <w:t>Prerequisites:   None</w:t>
      </w:r>
    </w:p>
    <w:p w:rsidR="00C4064B" w:rsidRPr="005C380E" w:rsidRDefault="00C4064B" w:rsidP="00C4064B">
      <w:pPr>
        <w:spacing w:after="0" w:line="240" w:lineRule="auto"/>
        <w:jc w:val="both"/>
        <w:rPr>
          <w:color w:val="000000" w:themeColor="text1"/>
          <w:sz w:val="20"/>
          <w:szCs w:val="20"/>
        </w:rPr>
      </w:pPr>
      <w:r w:rsidRPr="005C380E">
        <w:rPr>
          <w:color w:val="000000" w:themeColor="text1"/>
          <w:sz w:val="20"/>
          <w:szCs w:val="20"/>
        </w:rPr>
        <w:t>Advance Preparation:  None</w:t>
      </w:r>
    </w:p>
    <w:p w:rsidR="00C4064B" w:rsidRPr="005C380E" w:rsidRDefault="00C4064B" w:rsidP="00C4064B">
      <w:pPr>
        <w:spacing w:after="0" w:line="240" w:lineRule="auto"/>
        <w:jc w:val="both"/>
        <w:rPr>
          <w:color w:val="000000" w:themeColor="text1"/>
          <w:sz w:val="20"/>
          <w:szCs w:val="20"/>
        </w:rPr>
      </w:pPr>
      <w:r w:rsidRPr="005C380E">
        <w:rPr>
          <w:color w:val="000000" w:themeColor="text1"/>
          <w:sz w:val="20"/>
          <w:szCs w:val="20"/>
        </w:rPr>
        <w:t>Refund Policy:  100% refund if cancelled at least 48 hours prior to the event</w:t>
      </w:r>
    </w:p>
    <w:p w:rsidR="00C4064B" w:rsidRPr="005C380E" w:rsidRDefault="00C4064B" w:rsidP="00C4064B">
      <w:pPr>
        <w:spacing w:after="0" w:line="240" w:lineRule="auto"/>
        <w:jc w:val="both"/>
        <w:rPr>
          <w:color w:val="000000" w:themeColor="text1"/>
          <w:sz w:val="20"/>
          <w:szCs w:val="20"/>
        </w:rPr>
      </w:pPr>
      <w:r w:rsidRPr="005C380E">
        <w:rPr>
          <w:color w:val="000000" w:themeColor="text1"/>
          <w:sz w:val="20"/>
          <w:szCs w:val="20"/>
        </w:rPr>
        <w:t>Complaint Resolution:  Complaints will be resolved by the Rutgers Accounting Research Center</w:t>
      </w:r>
    </w:p>
    <w:p w:rsidR="00C4064B" w:rsidRPr="005C380E" w:rsidRDefault="00C4064B" w:rsidP="00C4064B">
      <w:pPr>
        <w:spacing w:after="0" w:line="240" w:lineRule="auto"/>
        <w:jc w:val="both"/>
        <w:rPr>
          <w:color w:val="000000" w:themeColor="text1"/>
          <w:sz w:val="20"/>
          <w:szCs w:val="20"/>
        </w:rPr>
      </w:pPr>
    </w:p>
    <w:p w:rsidR="00C4064B" w:rsidRPr="00EF4F41" w:rsidRDefault="00C4064B" w:rsidP="00C4064B">
      <w:pPr>
        <w:spacing w:after="0" w:line="240" w:lineRule="auto"/>
        <w:jc w:val="both"/>
        <w:rPr>
          <w:sz w:val="20"/>
          <w:szCs w:val="20"/>
        </w:rPr>
      </w:pPr>
      <w:r w:rsidRPr="005C380E">
        <w:rPr>
          <w:color w:val="000000" w:themeColor="text1"/>
          <w:sz w:val="20"/>
          <w:szCs w:val="20"/>
        </w:rPr>
        <w:t>Rutgers Business School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this website:</w:t>
      </w:r>
      <w:r w:rsidRPr="00EF4F41">
        <w:rPr>
          <w:sz w:val="20"/>
          <w:szCs w:val="20"/>
        </w:rPr>
        <w:t xml:space="preserve"> </w:t>
      </w:r>
      <w:hyperlink r:id="rId11" w:history="1">
        <w:r w:rsidRPr="00EF4F41">
          <w:rPr>
            <w:rStyle w:val="Hyperlink"/>
            <w:sz w:val="20"/>
            <w:szCs w:val="20"/>
          </w:rPr>
          <w:t>www.learningmarket.org</w:t>
        </w:r>
      </w:hyperlink>
      <w:r w:rsidRPr="00EF4F41">
        <w:rPr>
          <w:sz w:val="20"/>
          <w:szCs w:val="20"/>
        </w:rPr>
        <w:t>.</w:t>
      </w:r>
    </w:p>
    <w:p w:rsidR="00C4064B" w:rsidRDefault="00C4064B" w:rsidP="00C4064B">
      <w:pPr>
        <w:spacing w:after="0" w:line="240" w:lineRule="auto"/>
        <w:jc w:val="both"/>
        <w:rPr>
          <w:sz w:val="20"/>
          <w:szCs w:val="20"/>
        </w:rPr>
      </w:pPr>
    </w:p>
    <w:p w:rsidR="00C4064B" w:rsidRDefault="00C4064B" w:rsidP="00845C30">
      <w:pPr>
        <w:spacing w:after="0"/>
        <w:jc w:val="both"/>
        <w:rPr>
          <w:bCs/>
          <w:iCs/>
          <w:color w:val="000000" w:themeColor="text1"/>
          <w:sz w:val="20"/>
          <w:szCs w:val="20"/>
        </w:rPr>
      </w:pPr>
    </w:p>
    <w:p w:rsidR="00396676" w:rsidRPr="005C380E" w:rsidRDefault="00396676" w:rsidP="00845C30">
      <w:pPr>
        <w:spacing w:after="0"/>
        <w:jc w:val="both"/>
        <w:rPr>
          <w:bCs/>
          <w:iCs/>
          <w:color w:val="000000" w:themeColor="text1"/>
          <w:sz w:val="20"/>
          <w:szCs w:val="20"/>
        </w:rPr>
      </w:pPr>
    </w:p>
    <w:p w:rsidR="006D0AAD" w:rsidRPr="00C4064B" w:rsidRDefault="00C4064B" w:rsidP="001219F0">
      <w:pPr>
        <w:spacing w:after="0"/>
        <w:jc w:val="center"/>
        <w:rPr>
          <w:b/>
          <w:bCs/>
          <w:iCs/>
          <w:color w:val="000000" w:themeColor="text1"/>
          <w:sz w:val="28"/>
          <w:szCs w:val="28"/>
        </w:rPr>
      </w:pPr>
      <w:r w:rsidRPr="00413200">
        <w:rPr>
          <w:b/>
          <w:bCs/>
          <w:iCs/>
          <w:color w:val="000000" w:themeColor="text1"/>
          <w:sz w:val="28"/>
          <w:szCs w:val="28"/>
        </w:rPr>
        <w:t>S</w:t>
      </w:r>
      <w:r w:rsidR="001219F0" w:rsidRPr="00413200">
        <w:rPr>
          <w:b/>
          <w:bCs/>
          <w:iCs/>
          <w:color w:val="000000" w:themeColor="text1"/>
          <w:sz w:val="28"/>
          <w:szCs w:val="28"/>
        </w:rPr>
        <w:t>cheduled Speakers and Topics</w:t>
      </w:r>
    </w:p>
    <w:p w:rsidR="00C4064B" w:rsidRPr="005C380E" w:rsidRDefault="00C4064B" w:rsidP="00845C30">
      <w:pPr>
        <w:spacing w:after="0"/>
        <w:jc w:val="both"/>
        <w:rPr>
          <w:bCs/>
          <w:iCs/>
          <w:color w:val="000000" w:themeColor="text1"/>
          <w:sz w:val="20"/>
          <w:szCs w:val="20"/>
        </w:rPr>
      </w:pPr>
    </w:p>
    <w:p w:rsidR="0051734A" w:rsidRPr="005C380E" w:rsidRDefault="002B2CCA" w:rsidP="00845C30">
      <w:pPr>
        <w:spacing w:after="0"/>
        <w:jc w:val="both"/>
        <w:rPr>
          <w:rFonts w:cs="Arial"/>
          <w:b/>
          <w:bCs/>
          <w:i/>
          <w:color w:val="000000" w:themeColor="text1"/>
          <w:sz w:val="20"/>
          <w:szCs w:val="20"/>
        </w:rPr>
      </w:pPr>
      <w:r w:rsidRPr="005C380E">
        <w:rPr>
          <w:b/>
          <w:bCs/>
          <w:i/>
          <w:iCs/>
          <w:color w:val="000000" w:themeColor="text1"/>
          <w:sz w:val="20"/>
          <w:szCs w:val="20"/>
        </w:rPr>
        <w:t xml:space="preserve">Roles and Responsibilities: </w:t>
      </w:r>
      <w:r w:rsidR="00CA2FAD" w:rsidRPr="005C380E">
        <w:rPr>
          <w:b/>
          <w:bCs/>
          <w:i/>
          <w:iCs/>
          <w:color w:val="000000" w:themeColor="text1"/>
          <w:sz w:val="20"/>
          <w:szCs w:val="20"/>
        </w:rPr>
        <w:t xml:space="preserve"> </w:t>
      </w:r>
      <w:r w:rsidRPr="005C380E">
        <w:rPr>
          <w:b/>
          <w:bCs/>
          <w:i/>
          <w:iCs/>
          <w:color w:val="000000" w:themeColor="text1"/>
          <w:sz w:val="20"/>
          <w:szCs w:val="20"/>
        </w:rPr>
        <w:t>Preventing, Detecting, Investigating and Remediating Corporate Fraud</w:t>
      </w:r>
    </w:p>
    <w:p w:rsidR="002B2CCA" w:rsidRPr="005C380E" w:rsidRDefault="002B2CCA" w:rsidP="00845C30">
      <w:pPr>
        <w:spacing w:after="0"/>
        <w:jc w:val="both"/>
        <w:rPr>
          <w:rFonts w:cs="Arial"/>
          <w:color w:val="000000" w:themeColor="text1"/>
          <w:sz w:val="20"/>
          <w:szCs w:val="20"/>
        </w:rPr>
      </w:pPr>
      <w:r w:rsidRPr="005C380E">
        <w:rPr>
          <w:rFonts w:cs="Arial"/>
          <w:color w:val="000000" w:themeColor="text1"/>
          <w:sz w:val="20"/>
          <w:szCs w:val="20"/>
        </w:rPr>
        <w:t xml:space="preserve">Ellen Zimiles, Esq., </w:t>
      </w:r>
      <w:r w:rsidRPr="005C380E">
        <w:rPr>
          <w:color w:val="000000" w:themeColor="text1"/>
          <w:sz w:val="20"/>
          <w:szCs w:val="20"/>
        </w:rPr>
        <w:t>Global Head of Investigations and Compliance, Navigant Consulting</w:t>
      </w:r>
    </w:p>
    <w:p w:rsidR="002B2CCA" w:rsidRPr="005C380E" w:rsidRDefault="005124BA" w:rsidP="00845C30">
      <w:pPr>
        <w:spacing w:after="0"/>
        <w:jc w:val="both"/>
        <w:rPr>
          <w:color w:val="000000" w:themeColor="text1"/>
          <w:sz w:val="20"/>
          <w:szCs w:val="20"/>
        </w:rPr>
      </w:pPr>
      <w:r w:rsidRPr="005C380E">
        <w:rPr>
          <w:rFonts w:cs="Arial"/>
          <w:color w:val="000000" w:themeColor="text1"/>
          <w:sz w:val="20"/>
          <w:szCs w:val="20"/>
        </w:rPr>
        <w:t xml:space="preserve">Nancy Haig, </w:t>
      </w:r>
      <w:r w:rsidR="00A0689C" w:rsidRPr="00A0689C">
        <w:rPr>
          <w:rFonts w:cs="Times New Roman"/>
          <w:bCs/>
          <w:iCs/>
          <w:smallCaps/>
          <w:color w:val="000000" w:themeColor="text1"/>
          <w:sz w:val="20"/>
          <w:szCs w:val="20"/>
        </w:rPr>
        <w:t>MBA, CIA, CFE, CRISC, CBA, CFSA, CCSA, CRMA</w:t>
      </w:r>
      <w:r w:rsidR="00A0689C">
        <w:rPr>
          <w:color w:val="000000" w:themeColor="text1"/>
          <w:sz w:val="20"/>
          <w:szCs w:val="20"/>
        </w:rPr>
        <w:t>,</w:t>
      </w:r>
      <w:r w:rsidR="00FB6A4D" w:rsidRPr="00A0689C">
        <w:rPr>
          <w:color w:val="000000" w:themeColor="text1"/>
          <w:sz w:val="20"/>
          <w:szCs w:val="20"/>
        </w:rPr>
        <w:t xml:space="preserve"> </w:t>
      </w:r>
      <w:r w:rsidR="002B2CCA" w:rsidRPr="005C380E">
        <w:rPr>
          <w:color w:val="000000" w:themeColor="text1"/>
          <w:sz w:val="20"/>
          <w:szCs w:val="20"/>
        </w:rPr>
        <w:t>Director of Internal Audit (CAE) &amp; Compliance</w:t>
      </w:r>
      <w:r w:rsidR="003B2BB1">
        <w:rPr>
          <w:color w:val="000000" w:themeColor="text1"/>
          <w:sz w:val="20"/>
          <w:szCs w:val="20"/>
        </w:rPr>
        <w:t xml:space="preserve"> </w:t>
      </w:r>
      <w:r w:rsidR="003B2BB1">
        <w:rPr>
          <w:rFonts w:eastAsia="Times New Roman"/>
          <w:color w:val="000000"/>
          <w:sz w:val="21"/>
          <w:szCs w:val="21"/>
        </w:rPr>
        <w:t>for a global consulting firm</w:t>
      </w:r>
    </w:p>
    <w:p w:rsidR="002B2CCA" w:rsidRPr="005C380E" w:rsidRDefault="002B2CCA" w:rsidP="00845C30">
      <w:pPr>
        <w:spacing w:after="0"/>
        <w:jc w:val="both"/>
        <w:rPr>
          <w:color w:val="000000" w:themeColor="text1"/>
          <w:sz w:val="20"/>
          <w:szCs w:val="20"/>
        </w:rPr>
      </w:pPr>
    </w:p>
    <w:p w:rsidR="00D0387F" w:rsidRPr="005C380E" w:rsidRDefault="00A0689C" w:rsidP="00845C30">
      <w:pPr>
        <w:spacing w:after="0"/>
        <w:jc w:val="both"/>
        <w:rPr>
          <w:color w:val="000000" w:themeColor="text1"/>
          <w:sz w:val="20"/>
          <w:szCs w:val="20"/>
        </w:rPr>
      </w:pPr>
      <w:r w:rsidRPr="005C380E">
        <w:rPr>
          <w:rFonts w:cs="Arial"/>
          <w:color w:val="000000" w:themeColor="text1"/>
          <w:sz w:val="20"/>
          <w:szCs w:val="20"/>
        </w:rPr>
        <w:t xml:space="preserve">According to the ACFE </w:t>
      </w:r>
      <w:r w:rsidRPr="005C380E">
        <w:rPr>
          <w:rFonts w:cs="Arial"/>
          <w:i/>
          <w:color w:val="000000" w:themeColor="text1"/>
          <w:sz w:val="20"/>
          <w:szCs w:val="20"/>
        </w:rPr>
        <w:t>Report to the Nations on Occupational Fraud and Abuse – 2014 Global Fraud Study</w:t>
      </w:r>
      <w:r w:rsidRPr="005C380E">
        <w:rPr>
          <w:rFonts w:cs="Arial"/>
          <w:color w:val="000000" w:themeColor="text1"/>
          <w:sz w:val="20"/>
          <w:szCs w:val="20"/>
        </w:rPr>
        <w:t xml:space="preserve">, companies lose, on average, 5% of revenue each year to fraud.  So, who in the organization is responsible for preventing fraud?  For detecting fraud, if and when it occurs?  For the investigation of fraud?  And for remediating controls that were found to be ineffective?  </w:t>
      </w:r>
      <w:r w:rsidRPr="005C380E">
        <w:rPr>
          <w:color w:val="000000" w:themeColor="text1"/>
          <w:sz w:val="20"/>
          <w:szCs w:val="20"/>
        </w:rPr>
        <w:t>Ellen Zimiles and Nancy Haig will describe, and illustrate through case studies, the responsibilities and roles of internal audit, compliance, legal and security functions; and external auditors, legal counsel and investigators, when it comes to dealing with fraud.</w:t>
      </w:r>
    </w:p>
    <w:p w:rsidR="003B2BB1" w:rsidRDefault="003B2BB1" w:rsidP="00845C30">
      <w:pPr>
        <w:spacing w:after="0"/>
        <w:jc w:val="both"/>
        <w:rPr>
          <w:rFonts w:cs="Arial"/>
          <w:b/>
          <w:i/>
          <w:color w:val="000000" w:themeColor="text1"/>
          <w:sz w:val="20"/>
          <w:szCs w:val="20"/>
        </w:rPr>
      </w:pPr>
    </w:p>
    <w:p w:rsidR="00A0689C" w:rsidRPr="005C380E" w:rsidRDefault="00A0689C" w:rsidP="00A0689C">
      <w:pPr>
        <w:spacing w:after="0"/>
        <w:jc w:val="both"/>
        <w:rPr>
          <w:rFonts w:ascii="Times New Roman" w:hAnsi="Times New Roman"/>
          <w:color w:val="000000" w:themeColor="text1"/>
          <w:sz w:val="20"/>
          <w:szCs w:val="20"/>
        </w:rPr>
      </w:pPr>
      <w:r w:rsidRPr="005C380E">
        <w:rPr>
          <w:rFonts w:cs="Times New Roman"/>
          <w:color w:val="000000" w:themeColor="text1"/>
          <w:sz w:val="20"/>
          <w:szCs w:val="20"/>
        </w:rPr>
        <w:t xml:space="preserve">Ellen Zimiles </w:t>
      </w:r>
      <w:r w:rsidRPr="005C380E">
        <w:rPr>
          <w:color w:val="000000" w:themeColor="text1"/>
          <w:sz w:val="20"/>
          <w:szCs w:val="20"/>
        </w:rPr>
        <w:t>has more than 30 years of litigation and investigation experience, including 10 years as a federal prosecutor, and is currently head of Navigant’s Global Investigation and Compliance Practice.  Before coming to Navigant, Ellen co-founded Daylight Forensic &amp; Advisory, an international consulting firm, which she ran prior to Daylight being acquired by Navigant.  Ellen was a principal at a "Big Four" accounting firm, where she coordinated the forensic practice across all industry segments and was practice leader for the financial services industry.  She is a leading authority on anti-money laundering programs, corporate governance, regulatory and corporate compliance, fraud control and public corruption matters.  Ellen has worked with a multitude of financial institutions preparing for regulatory exams.  She also has extensive experience in developing remediation programs, serving as a regulatory liaison and independent monitor, and advising organizations that are the subject of a monitorship.  Before her Big Four experience, Ellen was an assistant United States attorney in the Southern District of New York for more than 10 years.  She served in the civil and criminal divisions and was chief of the forfeiture unit for more than six years.  Ellen was responsible for many high-profile money laundering, fraud and forfeiture cases.  In recognition for her contributions as a federal prosecutor, Ellen received the United States Department of Justice’s John Marshall Award for Outstanding Service and the United States Department of Health and Human Services’ Integrity Award.  Ellen earned a bachelor's degree at Brooklyn College and a law degree at Syracuse University College of Law, where she served as an editor of the law review.</w:t>
      </w:r>
    </w:p>
    <w:p w:rsidR="000E7EAC" w:rsidRPr="005C380E" w:rsidRDefault="000E7EAC" w:rsidP="000E7EAC">
      <w:pPr>
        <w:spacing w:after="0"/>
        <w:jc w:val="both"/>
        <w:rPr>
          <w:rFonts w:cs="Times New Roman"/>
          <w:b/>
          <w:bCs/>
          <w:iCs/>
          <w:smallCaps/>
          <w:color w:val="000000" w:themeColor="text1"/>
          <w:sz w:val="20"/>
          <w:szCs w:val="20"/>
        </w:rPr>
      </w:pPr>
    </w:p>
    <w:p w:rsidR="00A0689C" w:rsidRPr="005C380E" w:rsidRDefault="00A0689C" w:rsidP="00A0689C">
      <w:pPr>
        <w:spacing w:after="0"/>
        <w:jc w:val="both"/>
        <w:rPr>
          <w:rFonts w:cs="Times New Roman"/>
          <w:color w:val="000000" w:themeColor="text1"/>
          <w:sz w:val="20"/>
          <w:szCs w:val="20"/>
        </w:rPr>
      </w:pPr>
      <w:r w:rsidRPr="005C380E">
        <w:rPr>
          <w:rFonts w:cs="Times New Roman"/>
          <w:color w:val="000000" w:themeColor="text1"/>
          <w:sz w:val="20"/>
          <w:szCs w:val="20"/>
        </w:rPr>
        <w:t xml:space="preserve">Nancy Haig has over 30 years of internal audit and compliance experience in the financial services, healthcare, professional services and pharmaceutical industries.  Nancy is currently the head of internal audit and compliance for a global consulting firm, and was previously the VP of internal audit for a global Japanese pharmaceutical manufacturer.  Nancy serves on the North American board of the Institute of Internal Auditors (IIA) as a member of the publications advisory committee and the editorial board.  Nancy earned MBA and BS degrees from Wagner College, Staten Island, NY, and a second MBA from Capella University. </w:t>
      </w:r>
    </w:p>
    <w:p w:rsidR="00ED0F1E" w:rsidRDefault="00ED0F1E" w:rsidP="000E7EAC">
      <w:pPr>
        <w:spacing w:after="0"/>
        <w:jc w:val="both"/>
        <w:rPr>
          <w:rFonts w:cs="Times New Roman"/>
          <w:color w:val="000000" w:themeColor="text1"/>
          <w:sz w:val="20"/>
          <w:szCs w:val="20"/>
        </w:rPr>
      </w:pPr>
    </w:p>
    <w:p w:rsidR="00A0689C" w:rsidRPr="005C380E" w:rsidRDefault="00A0689C" w:rsidP="000E7EAC">
      <w:pPr>
        <w:spacing w:after="0"/>
        <w:jc w:val="both"/>
        <w:rPr>
          <w:rFonts w:cs="Times New Roman"/>
          <w:color w:val="000000" w:themeColor="text1"/>
          <w:sz w:val="20"/>
          <w:szCs w:val="20"/>
        </w:rPr>
      </w:pPr>
    </w:p>
    <w:p w:rsidR="0051734A" w:rsidRPr="005C380E" w:rsidRDefault="000C49A9" w:rsidP="00845C30">
      <w:pPr>
        <w:spacing w:after="0"/>
        <w:jc w:val="both"/>
        <w:rPr>
          <w:rFonts w:cs="Arial"/>
          <w:b/>
          <w:i/>
          <w:color w:val="000000" w:themeColor="text1"/>
          <w:sz w:val="20"/>
          <w:szCs w:val="20"/>
        </w:rPr>
      </w:pPr>
      <w:r w:rsidRPr="005C380E">
        <w:rPr>
          <w:rFonts w:cs="Arial"/>
          <w:b/>
          <w:i/>
          <w:color w:val="000000" w:themeColor="text1"/>
          <w:sz w:val="20"/>
          <w:szCs w:val="20"/>
        </w:rPr>
        <w:t>The Investigative Audit (Prevention and Detection)</w:t>
      </w:r>
    </w:p>
    <w:p w:rsidR="0051734A" w:rsidRPr="005C380E" w:rsidRDefault="000C49A9" w:rsidP="00845C30">
      <w:pPr>
        <w:spacing w:after="0"/>
        <w:jc w:val="both"/>
        <w:rPr>
          <w:rFonts w:cs="Arial"/>
          <w:color w:val="000000" w:themeColor="text1"/>
          <w:sz w:val="20"/>
          <w:szCs w:val="20"/>
        </w:rPr>
      </w:pPr>
      <w:r w:rsidRPr="005C380E">
        <w:rPr>
          <w:rFonts w:cs="Arial"/>
          <w:color w:val="000000" w:themeColor="text1"/>
          <w:sz w:val="20"/>
          <w:szCs w:val="20"/>
        </w:rPr>
        <w:t xml:space="preserve">David Gannaway, </w:t>
      </w:r>
      <w:r w:rsidR="0061257A" w:rsidRPr="005C380E">
        <w:rPr>
          <w:rFonts w:cs="Arial"/>
          <w:color w:val="000000" w:themeColor="text1"/>
          <w:sz w:val="20"/>
          <w:szCs w:val="20"/>
        </w:rPr>
        <w:t xml:space="preserve">MBA, CFE, CAMS, EA, </w:t>
      </w:r>
      <w:r w:rsidRPr="005C380E">
        <w:rPr>
          <w:rFonts w:cs="Arial"/>
          <w:color w:val="000000" w:themeColor="text1"/>
          <w:sz w:val="20"/>
          <w:szCs w:val="20"/>
        </w:rPr>
        <w:t>Principal</w:t>
      </w:r>
      <w:r w:rsidR="00046EC4" w:rsidRPr="005C380E">
        <w:rPr>
          <w:rFonts w:cs="Arial"/>
          <w:color w:val="000000" w:themeColor="text1"/>
          <w:sz w:val="20"/>
          <w:szCs w:val="20"/>
        </w:rPr>
        <w:t xml:space="preserve"> - </w:t>
      </w:r>
      <w:r w:rsidR="00046EC4" w:rsidRPr="005C380E">
        <w:rPr>
          <w:color w:val="000000" w:themeColor="text1"/>
          <w:sz w:val="20"/>
          <w:szCs w:val="20"/>
        </w:rPr>
        <w:t>Litigation Support</w:t>
      </w:r>
      <w:r w:rsidRPr="005C380E">
        <w:rPr>
          <w:rFonts w:cs="Arial"/>
          <w:color w:val="000000" w:themeColor="text1"/>
          <w:sz w:val="20"/>
          <w:szCs w:val="20"/>
        </w:rPr>
        <w:t>, O’Connor Davies, LLP</w:t>
      </w:r>
    </w:p>
    <w:p w:rsidR="00046EC4" w:rsidRPr="005C380E" w:rsidRDefault="00046EC4" w:rsidP="00845C30">
      <w:pPr>
        <w:spacing w:after="0"/>
        <w:jc w:val="both"/>
        <w:rPr>
          <w:rFonts w:cs="Arial"/>
          <w:color w:val="000000" w:themeColor="text1"/>
          <w:sz w:val="20"/>
          <w:szCs w:val="20"/>
        </w:rPr>
      </w:pPr>
    </w:p>
    <w:p w:rsidR="0051734A" w:rsidRPr="005C380E" w:rsidRDefault="000C49A9" w:rsidP="00845C30">
      <w:pPr>
        <w:spacing w:after="0"/>
        <w:jc w:val="both"/>
        <w:rPr>
          <w:rFonts w:cs="Arial"/>
          <w:color w:val="000000" w:themeColor="text1"/>
          <w:sz w:val="20"/>
          <w:szCs w:val="20"/>
        </w:rPr>
      </w:pPr>
      <w:r w:rsidRPr="005C380E">
        <w:rPr>
          <w:rFonts w:cs="Arial"/>
          <w:color w:val="000000" w:themeColor="text1"/>
          <w:sz w:val="20"/>
          <w:szCs w:val="20"/>
        </w:rPr>
        <w:t xml:space="preserve">With bribery and corruption gaining momentum to obtain/maintain business, conducting investigative audits can assist a company </w:t>
      </w:r>
      <w:r w:rsidR="00EF4F41" w:rsidRPr="005C380E">
        <w:rPr>
          <w:rFonts w:cs="Arial"/>
          <w:color w:val="000000" w:themeColor="text1"/>
          <w:sz w:val="20"/>
          <w:szCs w:val="20"/>
        </w:rPr>
        <w:t xml:space="preserve">in </w:t>
      </w:r>
      <w:r w:rsidRPr="005C380E">
        <w:rPr>
          <w:rFonts w:cs="Arial"/>
          <w:color w:val="000000" w:themeColor="text1"/>
          <w:sz w:val="20"/>
          <w:szCs w:val="20"/>
        </w:rPr>
        <w:t xml:space="preserve">identify potential fraudulent activities. </w:t>
      </w:r>
      <w:r w:rsidR="00046EC4" w:rsidRPr="005C380E">
        <w:rPr>
          <w:rFonts w:cs="Arial"/>
          <w:color w:val="000000" w:themeColor="text1"/>
          <w:sz w:val="20"/>
          <w:szCs w:val="20"/>
        </w:rPr>
        <w:t xml:space="preserve"> </w:t>
      </w:r>
      <w:r w:rsidRPr="005C380E">
        <w:rPr>
          <w:rFonts w:cs="Arial"/>
          <w:color w:val="000000" w:themeColor="text1"/>
          <w:sz w:val="20"/>
          <w:szCs w:val="20"/>
        </w:rPr>
        <w:t>Whistleblowers</w:t>
      </w:r>
      <w:r w:rsidR="00765EFA" w:rsidRPr="005C380E">
        <w:rPr>
          <w:rFonts w:cs="Arial"/>
          <w:color w:val="000000" w:themeColor="text1"/>
          <w:sz w:val="20"/>
          <w:szCs w:val="20"/>
        </w:rPr>
        <w:t xml:space="preserve"> with inside information are coming forward to prosecutors and detailing illegal schemes. </w:t>
      </w:r>
      <w:r w:rsidR="00046EC4" w:rsidRPr="005C380E">
        <w:rPr>
          <w:rFonts w:cs="Arial"/>
          <w:color w:val="000000" w:themeColor="text1"/>
          <w:sz w:val="20"/>
          <w:szCs w:val="20"/>
        </w:rPr>
        <w:t xml:space="preserve"> </w:t>
      </w:r>
      <w:r w:rsidR="00765EFA" w:rsidRPr="005C380E">
        <w:rPr>
          <w:rFonts w:cs="Arial"/>
          <w:color w:val="000000" w:themeColor="text1"/>
          <w:sz w:val="20"/>
          <w:szCs w:val="20"/>
        </w:rPr>
        <w:t>Their rewards can be substantial depending upon the information provided and the extent of the fraud schemes.</w:t>
      </w:r>
      <w:r w:rsidR="00046EC4" w:rsidRPr="005C380E">
        <w:rPr>
          <w:rFonts w:cs="Arial"/>
          <w:color w:val="000000" w:themeColor="text1"/>
          <w:sz w:val="20"/>
          <w:szCs w:val="20"/>
        </w:rPr>
        <w:t xml:space="preserve"> </w:t>
      </w:r>
      <w:r w:rsidR="00765EFA" w:rsidRPr="005C380E">
        <w:rPr>
          <w:rFonts w:cs="Arial"/>
          <w:color w:val="000000" w:themeColor="text1"/>
          <w:sz w:val="20"/>
          <w:szCs w:val="20"/>
        </w:rPr>
        <w:t xml:space="preserve"> Performing investigative audits may assist companies in rooting out bad employees and save the company from embarrassing headlines.</w:t>
      </w:r>
    </w:p>
    <w:p w:rsidR="00EF4F41" w:rsidRDefault="00EF4F41" w:rsidP="00845C30">
      <w:pPr>
        <w:spacing w:after="0"/>
        <w:jc w:val="both"/>
        <w:rPr>
          <w:rFonts w:cs="Arial"/>
          <w:color w:val="000000" w:themeColor="text1"/>
          <w:sz w:val="20"/>
          <w:szCs w:val="20"/>
        </w:rPr>
      </w:pPr>
    </w:p>
    <w:p w:rsidR="0051734A" w:rsidRPr="005C380E" w:rsidRDefault="006D0AAD" w:rsidP="00845C30">
      <w:pPr>
        <w:spacing w:after="0"/>
        <w:jc w:val="both"/>
        <w:rPr>
          <w:rFonts w:cs="Arial"/>
          <w:color w:val="000000" w:themeColor="text1"/>
          <w:sz w:val="20"/>
          <w:szCs w:val="20"/>
        </w:rPr>
      </w:pPr>
      <w:r w:rsidRPr="005C380E">
        <w:rPr>
          <w:rFonts w:cs="Arial"/>
          <w:color w:val="000000" w:themeColor="text1"/>
          <w:sz w:val="20"/>
          <w:szCs w:val="20"/>
        </w:rPr>
        <w:t>David will</w:t>
      </w:r>
      <w:r w:rsidR="0051734A" w:rsidRPr="005C380E">
        <w:rPr>
          <w:rFonts w:cs="Arial"/>
          <w:color w:val="000000" w:themeColor="text1"/>
          <w:sz w:val="20"/>
          <w:szCs w:val="20"/>
        </w:rPr>
        <w:t xml:space="preserve"> discuss</w:t>
      </w:r>
      <w:r w:rsidRPr="005C380E">
        <w:rPr>
          <w:rFonts w:cs="Arial"/>
          <w:color w:val="000000" w:themeColor="text1"/>
          <w:sz w:val="20"/>
          <w:szCs w:val="20"/>
        </w:rPr>
        <w:t xml:space="preserve"> the following topics, including</w:t>
      </w:r>
      <w:r w:rsidR="0051734A" w:rsidRPr="005C380E">
        <w:rPr>
          <w:rFonts w:cs="Arial"/>
          <w:color w:val="000000" w:themeColor="text1"/>
          <w:sz w:val="20"/>
          <w:szCs w:val="20"/>
        </w:rPr>
        <w:t xml:space="preserve"> “Red Flags” associated with:</w:t>
      </w:r>
    </w:p>
    <w:p w:rsidR="0051734A" w:rsidRPr="005C380E" w:rsidRDefault="0061257A" w:rsidP="00845C30">
      <w:pPr>
        <w:numPr>
          <w:ilvl w:val="0"/>
          <w:numId w:val="9"/>
        </w:numPr>
        <w:overflowPunct w:val="0"/>
        <w:autoSpaceDE w:val="0"/>
        <w:autoSpaceDN w:val="0"/>
        <w:adjustRightInd w:val="0"/>
        <w:spacing w:after="0" w:line="240" w:lineRule="auto"/>
        <w:ind w:left="360"/>
        <w:jc w:val="both"/>
        <w:textAlignment w:val="baseline"/>
        <w:rPr>
          <w:rFonts w:cs="Arial"/>
          <w:color w:val="000000" w:themeColor="text1"/>
          <w:sz w:val="20"/>
          <w:szCs w:val="20"/>
        </w:rPr>
      </w:pPr>
      <w:r w:rsidRPr="005C380E">
        <w:rPr>
          <w:rFonts w:cs="Arial"/>
          <w:color w:val="000000" w:themeColor="text1"/>
          <w:sz w:val="20"/>
          <w:szCs w:val="20"/>
        </w:rPr>
        <w:t>Fraud Risk Assessment</w:t>
      </w:r>
    </w:p>
    <w:p w:rsidR="0051734A" w:rsidRPr="005C380E" w:rsidRDefault="0061257A" w:rsidP="00845C30">
      <w:pPr>
        <w:numPr>
          <w:ilvl w:val="1"/>
          <w:numId w:val="9"/>
        </w:numPr>
        <w:overflowPunct w:val="0"/>
        <w:autoSpaceDE w:val="0"/>
        <w:autoSpaceDN w:val="0"/>
        <w:adjustRightInd w:val="0"/>
        <w:spacing w:after="0" w:line="240" w:lineRule="auto"/>
        <w:ind w:left="720"/>
        <w:jc w:val="both"/>
        <w:textAlignment w:val="baseline"/>
        <w:rPr>
          <w:rFonts w:cs="Arial"/>
          <w:color w:val="000000" w:themeColor="text1"/>
          <w:sz w:val="20"/>
          <w:szCs w:val="20"/>
        </w:rPr>
      </w:pPr>
      <w:r w:rsidRPr="005C380E">
        <w:rPr>
          <w:rFonts w:cs="Arial"/>
          <w:color w:val="000000" w:themeColor="text1"/>
          <w:sz w:val="20"/>
          <w:szCs w:val="20"/>
        </w:rPr>
        <w:t>Evaluate Fraud Risk Factors</w:t>
      </w:r>
    </w:p>
    <w:p w:rsidR="0061257A" w:rsidRPr="005C380E" w:rsidRDefault="0061257A" w:rsidP="00845C30">
      <w:pPr>
        <w:numPr>
          <w:ilvl w:val="1"/>
          <w:numId w:val="9"/>
        </w:numPr>
        <w:overflowPunct w:val="0"/>
        <w:autoSpaceDE w:val="0"/>
        <w:autoSpaceDN w:val="0"/>
        <w:adjustRightInd w:val="0"/>
        <w:spacing w:after="0" w:line="240" w:lineRule="auto"/>
        <w:ind w:left="720"/>
        <w:jc w:val="both"/>
        <w:textAlignment w:val="baseline"/>
        <w:rPr>
          <w:rFonts w:cs="Arial"/>
          <w:color w:val="000000" w:themeColor="text1"/>
          <w:sz w:val="20"/>
          <w:szCs w:val="20"/>
        </w:rPr>
      </w:pPr>
      <w:r w:rsidRPr="005C380E">
        <w:rPr>
          <w:rFonts w:cs="Arial"/>
          <w:color w:val="000000" w:themeColor="text1"/>
          <w:sz w:val="20"/>
          <w:szCs w:val="20"/>
        </w:rPr>
        <w:t>Identify Possible Fraud Schemes</w:t>
      </w:r>
    </w:p>
    <w:p w:rsidR="0061257A" w:rsidRPr="005C380E" w:rsidRDefault="0061257A" w:rsidP="00845C30">
      <w:pPr>
        <w:numPr>
          <w:ilvl w:val="1"/>
          <w:numId w:val="9"/>
        </w:numPr>
        <w:overflowPunct w:val="0"/>
        <w:autoSpaceDE w:val="0"/>
        <w:autoSpaceDN w:val="0"/>
        <w:adjustRightInd w:val="0"/>
        <w:spacing w:after="0" w:line="240" w:lineRule="auto"/>
        <w:ind w:left="720"/>
        <w:jc w:val="both"/>
        <w:textAlignment w:val="baseline"/>
        <w:rPr>
          <w:rFonts w:cs="Arial"/>
          <w:color w:val="000000" w:themeColor="text1"/>
          <w:sz w:val="20"/>
          <w:szCs w:val="20"/>
        </w:rPr>
      </w:pPr>
      <w:r w:rsidRPr="005C380E">
        <w:rPr>
          <w:rFonts w:cs="Arial"/>
          <w:color w:val="000000" w:themeColor="text1"/>
          <w:sz w:val="20"/>
          <w:szCs w:val="20"/>
        </w:rPr>
        <w:lastRenderedPageBreak/>
        <w:t>Prioritize Identified Fraud Risks</w:t>
      </w:r>
    </w:p>
    <w:p w:rsidR="0061257A" w:rsidRPr="005C380E" w:rsidRDefault="0061257A" w:rsidP="00845C30">
      <w:pPr>
        <w:numPr>
          <w:ilvl w:val="1"/>
          <w:numId w:val="9"/>
        </w:numPr>
        <w:overflowPunct w:val="0"/>
        <w:autoSpaceDE w:val="0"/>
        <w:autoSpaceDN w:val="0"/>
        <w:adjustRightInd w:val="0"/>
        <w:spacing w:after="0" w:line="240" w:lineRule="auto"/>
        <w:ind w:left="720"/>
        <w:jc w:val="both"/>
        <w:textAlignment w:val="baseline"/>
        <w:rPr>
          <w:rFonts w:cs="Arial"/>
          <w:color w:val="000000" w:themeColor="text1"/>
          <w:sz w:val="20"/>
          <w:szCs w:val="20"/>
        </w:rPr>
      </w:pPr>
      <w:r w:rsidRPr="005C380E">
        <w:rPr>
          <w:rFonts w:cs="Arial"/>
          <w:color w:val="000000" w:themeColor="text1"/>
          <w:sz w:val="20"/>
          <w:szCs w:val="20"/>
        </w:rPr>
        <w:t>Evaluate Whether Mitigation Controls Exist or are Effective</w:t>
      </w:r>
    </w:p>
    <w:p w:rsidR="0061257A" w:rsidRPr="005C380E" w:rsidRDefault="0061257A" w:rsidP="00845C30">
      <w:pPr>
        <w:numPr>
          <w:ilvl w:val="1"/>
          <w:numId w:val="9"/>
        </w:numPr>
        <w:overflowPunct w:val="0"/>
        <w:autoSpaceDE w:val="0"/>
        <w:autoSpaceDN w:val="0"/>
        <w:adjustRightInd w:val="0"/>
        <w:spacing w:after="0" w:line="240" w:lineRule="auto"/>
        <w:ind w:left="720"/>
        <w:jc w:val="both"/>
        <w:textAlignment w:val="baseline"/>
        <w:rPr>
          <w:rFonts w:cs="Arial"/>
          <w:color w:val="000000" w:themeColor="text1"/>
          <w:sz w:val="20"/>
          <w:szCs w:val="20"/>
        </w:rPr>
      </w:pPr>
      <w:r w:rsidRPr="005C380E">
        <w:rPr>
          <w:rFonts w:cs="Arial"/>
          <w:color w:val="000000" w:themeColor="text1"/>
          <w:sz w:val="20"/>
          <w:szCs w:val="20"/>
        </w:rPr>
        <w:t>Clearly Communicate Zero Tolerance Policy</w:t>
      </w:r>
    </w:p>
    <w:p w:rsidR="0061257A" w:rsidRPr="005C380E" w:rsidRDefault="0061257A" w:rsidP="00845C30">
      <w:pPr>
        <w:numPr>
          <w:ilvl w:val="1"/>
          <w:numId w:val="9"/>
        </w:numPr>
        <w:overflowPunct w:val="0"/>
        <w:autoSpaceDE w:val="0"/>
        <w:autoSpaceDN w:val="0"/>
        <w:adjustRightInd w:val="0"/>
        <w:spacing w:after="0" w:line="240" w:lineRule="auto"/>
        <w:ind w:left="720"/>
        <w:jc w:val="both"/>
        <w:textAlignment w:val="baseline"/>
        <w:rPr>
          <w:rFonts w:cs="Arial"/>
          <w:color w:val="000000" w:themeColor="text1"/>
          <w:sz w:val="20"/>
          <w:szCs w:val="20"/>
        </w:rPr>
      </w:pPr>
      <w:r w:rsidRPr="005C380E">
        <w:rPr>
          <w:rFonts w:cs="Arial"/>
          <w:color w:val="000000" w:themeColor="text1"/>
          <w:sz w:val="20"/>
          <w:szCs w:val="20"/>
        </w:rPr>
        <w:t>Monitor the Program and Periodically Re-assess Risk Factors</w:t>
      </w:r>
    </w:p>
    <w:p w:rsidR="0051734A" w:rsidRPr="005C380E" w:rsidRDefault="00046EC4" w:rsidP="00845C30">
      <w:pPr>
        <w:numPr>
          <w:ilvl w:val="0"/>
          <w:numId w:val="9"/>
        </w:numPr>
        <w:overflowPunct w:val="0"/>
        <w:autoSpaceDE w:val="0"/>
        <w:autoSpaceDN w:val="0"/>
        <w:adjustRightInd w:val="0"/>
        <w:spacing w:after="0" w:line="240" w:lineRule="auto"/>
        <w:ind w:left="360"/>
        <w:jc w:val="both"/>
        <w:textAlignment w:val="baseline"/>
        <w:rPr>
          <w:rFonts w:cs="Arial"/>
          <w:color w:val="000000" w:themeColor="text1"/>
          <w:sz w:val="20"/>
          <w:szCs w:val="20"/>
        </w:rPr>
      </w:pPr>
      <w:r w:rsidRPr="005C380E">
        <w:rPr>
          <w:rFonts w:cs="Arial"/>
          <w:color w:val="000000" w:themeColor="text1"/>
          <w:sz w:val="20"/>
          <w:szCs w:val="20"/>
        </w:rPr>
        <w:t xml:space="preserve">Fraud </w:t>
      </w:r>
      <w:r w:rsidR="002B2CCA" w:rsidRPr="005C380E">
        <w:rPr>
          <w:rFonts w:cs="Arial"/>
          <w:color w:val="000000" w:themeColor="text1"/>
          <w:sz w:val="20"/>
          <w:szCs w:val="20"/>
        </w:rPr>
        <w:t>Deterrence</w:t>
      </w:r>
    </w:p>
    <w:p w:rsidR="00046EC4" w:rsidRDefault="00046EC4" w:rsidP="00845C30">
      <w:pPr>
        <w:overflowPunct w:val="0"/>
        <w:autoSpaceDE w:val="0"/>
        <w:autoSpaceDN w:val="0"/>
        <w:adjustRightInd w:val="0"/>
        <w:spacing w:after="0" w:line="240" w:lineRule="auto"/>
        <w:jc w:val="both"/>
        <w:textAlignment w:val="baseline"/>
        <w:rPr>
          <w:rFonts w:cs="Arial"/>
          <w:color w:val="000000" w:themeColor="text1"/>
          <w:sz w:val="20"/>
          <w:szCs w:val="20"/>
        </w:rPr>
      </w:pPr>
    </w:p>
    <w:p w:rsidR="00A0689C" w:rsidRPr="005C380E" w:rsidRDefault="00A0689C" w:rsidP="00A0689C">
      <w:pPr>
        <w:spacing w:after="0"/>
        <w:jc w:val="both"/>
        <w:rPr>
          <w:rFonts w:cs="Times New Roman"/>
          <w:color w:val="000000" w:themeColor="text1"/>
          <w:sz w:val="20"/>
          <w:szCs w:val="20"/>
        </w:rPr>
      </w:pPr>
      <w:r w:rsidRPr="005C380E">
        <w:rPr>
          <w:rFonts w:cs="Times New Roman"/>
          <w:color w:val="000000" w:themeColor="text1"/>
          <w:sz w:val="20"/>
          <w:szCs w:val="20"/>
        </w:rPr>
        <w:t>David Gannaway joined O’Connor Davies in February 2015 as a Principal in the Litigation Support Group.  David has over 25 years of combined experience as a former IRS Criminal Investigation Special Agent and consultant in managing and unraveling domestic and international complex white-collar financial fraud schemes across multiple business sectors including healthcare, financial services, and non-profit.  David earned a BS degree from Bristol College and an MBA degree from Fordham University’s Graduate School of Business Administration.</w:t>
      </w:r>
    </w:p>
    <w:p w:rsidR="00FA6A61" w:rsidRDefault="00FA6A61" w:rsidP="00845C30">
      <w:pPr>
        <w:overflowPunct w:val="0"/>
        <w:autoSpaceDE w:val="0"/>
        <w:autoSpaceDN w:val="0"/>
        <w:adjustRightInd w:val="0"/>
        <w:spacing w:after="0" w:line="240" w:lineRule="auto"/>
        <w:jc w:val="both"/>
        <w:textAlignment w:val="baseline"/>
        <w:rPr>
          <w:rFonts w:cs="Arial"/>
          <w:color w:val="000000" w:themeColor="text1"/>
          <w:sz w:val="20"/>
          <w:szCs w:val="20"/>
        </w:rPr>
      </w:pPr>
    </w:p>
    <w:p w:rsidR="00A0689C" w:rsidRPr="005C380E" w:rsidRDefault="00A0689C" w:rsidP="00845C30">
      <w:pPr>
        <w:overflowPunct w:val="0"/>
        <w:autoSpaceDE w:val="0"/>
        <w:autoSpaceDN w:val="0"/>
        <w:adjustRightInd w:val="0"/>
        <w:spacing w:after="0" w:line="240" w:lineRule="auto"/>
        <w:jc w:val="both"/>
        <w:textAlignment w:val="baseline"/>
        <w:rPr>
          <w:rFonts w:cs="Arial"/>
          <w:color w:val="000000" w:themeColor="text1"/>
          <w:sz w:val="20"/>
          <w:szCs w:val="20"/>
        </w:rPr>
      </w:pPr>
    </w:p>
    <w:p w:rsidR="00783F6A" w:rsidRPr="005C380E" w:rsidRDefault="00D03D9F" w:rsidP="00845C30">
      <w:pPr>
        <w:spacing w:after="0" w:line="240" w:lineRule="auto"/>
        <w:jc w:val="both"/>
        <w:rPr>
          <w:b/>
          <w:i/>
          <w:color w:val="000000" w:themeColor="text1"/>
          <w:sz w:val="20"/>
          <w:szCs w:val="20"/>
        </w:rPr>
      </w:pPr>
      <w:r w:rsidRPr="005C380E">
        <w:rPr>
          <w:b/>
          <w:i/>
          <w:color w:val="000000" w:themeColor="text1"/>
          <w:sz w:val="20"/>
          <w:szCs w:val="20"/>
        </w:rPr>
        <w:t>Considerations for Assessing Fraud Risk</w:t>
      </w:r>
    </w:p>
    <w:p w:rsidR="00046EC4" w:rsidRPr="005C380E" w:rsidRDefault="00EF4F41" w:rsidP="00845C30">
      <w:pPr>
        <w:spacing w:after="0" w:line="240" w:lineRule="auto"/>
        <w:jc w:val="both"/>
        <w:rPr>
          <w:b/>
          <w:i/>
          <w:color w:val="000000" w:themeColor="text1"/>
          <w:sz w:val="20"/>
          <w:szCs w:val="20"/>
        </w:rPr>
      </w:pPr>
      <w:r w:rsidRPr="005C380E">
        <w:rPr>
          <w:color w:val="000000" w:themeColor="text1"/>
          <w:sz w:val="20"/>
          <w:szCs w:val="20"/>
        </w:rPr>
        <w:t xml:space="preserve">Michael Dixon, </w:t>
      </w:r>
      <w:r w:rsidR="00A0689C">
        <w:rPr>
          <w:color w:val="000000" w:themeColor="text1"/>
          <w:sz w:val="20"/>
          <w:szCs w:val="20"/>
        </w:rPr>
        <w:t xml:space="preserve">MBA, </w:t>
      </w:r>
      <w:r w:rsidRPr="005C380E">
        <w:rPr>
          <w:color w:val="000000" w:themeColor="text1"/>
          <w:sz w:val="20"/>
          <w:szCs w:val="20"/>
        </w:rPr>
        <w:t>CPA, CIA, CFE, CISA, Engagement Manager, Experis</w:t>
      </w:r>
    </w:p>
    <w:p w:rsidR="00AE6F20" w:rsidRPr="005C380E" w:rsidRDefault="00AE6F20" w:rsidP="00845C30">
      <w:pPr>
        <w:spacing w:after="0" w:line="240" w:lineRule="auto"/>
        <w:jc w:val="both"/>
        <w:rPr>
          <w:color w:val="000000" w:themeColor="text1"/>
          <w:sz w:val="20"/>
          <w:szCs w:val="20"/>
        </w:rPr>
      </w:pPr>
    </w:p>
    <w:p w:rsidR="00E57C0B" w:rsidRPr="005C380E" w:rsidRDefault="00EF4F41" w:rsidP="00845C30">
      <w:pPr>
        <w:spacing w:after="0"/>
        <w:jc w:val="both"/>
        <w:rPr>
          <w:rFonts w:cs="Times New Roman"/>
          <w:color w:val="000000" w:themeColor="text1"/>
          <w:sz w:val="20"/>
          <w:szCs w:val="20"/>
        </w:rPr>
      </w:pPr>
      <w:r w:rsidRPr="005C380E">
        <w:rPr>
          <w:rFonts w:cs="Times New Roman"/>
          <w:color w:val="000000" w:themeColor="text1"/>
          <w:sz w:val="20"/>
          <w:szCs w:val="20"/>
        </w:rPr>
        <w:t>S</w:t>
      </w:r>
      <w:r w:rsidR="00E57C0B" w:rsidRPr="005C380E">
        <w:rPr>
          <w:rFonts w:cs="Times New Roman"/>
          <w:color w:val="000000" w:themeColor="text1"/>
          <w:sz w:val="20"/>
          <w:szCs w:val="20"/>
        </w:rPr>
        <w:t xml:space="preserve">urveys over time </w:t>
      </w:r>
      <w:r w:rsidRPr="005C380E">
        <w:rPr>
          <w:rFonts w:cs="Times New Roman"/>
          <w:color w:val="000000" w:themeColor="text1"/>
          <w:sz w:val="20"/>
          <w:szCs w:val="20"/>
        </w:rPr>
        <w:t xml:space="preserve">generally </w:t>
      </w:r>
      <w:r w:rsidR="00E57C0B" w:rsidRPr="005C380E">
        <w:rPr>
          <w:rFonts w:cs="Times New Roman"/>
          <w:color w:val="000000" w:themeColor="text1"/>
          <w:sz w:val="20"/>
          <w:szCs w:val="20"/>
        </w:rPr>
        <w:t>indicate that 5 to 7% of an organization’s revenue is lost each year to fraud.  Using the A</w:t>
      </w:r>
      <w:r w:rsidRPr="005C380E">
        <w:rPr>
          <w:rFonts w:cs="Times New Roman"/>
          <w:color w:val="000000" w:themeColor="text1"/>
          <w:sz w:val="20"/>
          <w:szCs w:val="20"/>
        </w:rPr>
        <w:t>CFE’s</w:t>
      </w:r>
      <w:r w:rsidR="00E57C0B" w:rsidRPr="005C380E">
        <w:rPr>
          <w:rFonts w:cs="Times New Roman"/>
          <w:color w:val="000000" w:themeColor="text1"/>
          <w:sz w:val="20"/>
          <w:szCs w:val="20"/>
        </w:rPr>
        <w:t xml:space="preserve"> Fraud Prevention Check-up as guide, Michael will outline an affordable and simple way to identify gaps in your organization’s </w:t>
      </w:r>
      <w:r w:rsidRPr="005C380E">
        <w:rPr>
          <w:rFonts w:cs="Times New Roman"/>
          <w:color w:val="000000" w:themeColor="text1"/>
          <w:sz w:val="20"/>
          <w:szCs w:val="20"/>
        </w:rPr>
        <w:t xml:space="preserve">fraud </w:t>
      </w:r>
      <w:r w:rsidR="00E57C0B" w:rsidRPr="005C380E">
        <w:rPr>
          <w:rFonts w:cs="Times New Roman"/>
          <w:color w:val="000000" w:themeColor="text1"/>
          <w:sz w:val="20"/>
          <w:szCs w:val="20"/>
        </w:rPr>
        <w:t>prevention processes. By identifying risks early, you have a chance to fix the problem before losing money and becoming a victim of fraud.</w:t>
      </w:r>
    </w:p>
    <w:p w:rsidR="00EF4F41" w:rsidRPr="005C380E" w:rsidRDefault="00EF4F41" w:rsidP="00845C30">
      <w:pPr>
        <w:spacing w:after="0"/>
        <w:jc w:val="both"/>
        <w:rPr>
          <w:rFonts w:cs="Times New Roman"/>
          <w:color w:val="000000" w:themeColor="text1"/>
          <w:sz w:val="20"/>
          <w:szCs w:val="20"/>
        </w:rPr>
      </w:pPr>
    </w:p>
    <w:p w:rsidR="00E57C0B" w:rsidRPr="005C380E" w:rsidRDefault="00EF4F41" w:rsidP="00845C30">
      <w:pPr>
        <w:spacing w:after="0"/>
        <w:jc w:val="both"/>
        <w:rPr>
          <w:rFonts w:cs="Times New Roman"/>
          <w:color w:val="000000" w:themeColor="text1"/>
          <w:sz w:val="20"/>
          <w:szCs w:val="20"/>
        </w:rPr>
      </w:pPr>
      <w:r w:rsidRPr="005C380E">
        <w:rPr>
          <w:rFonts w:cs="Times New Roman"/>
          <w:color w:val="000000" w:themeColor="text1"/>
          <w:sz w:val="20"/>
          <w:szCs w:val="20"/>
        </w:rPr>
        <w:t>A</w:t>
      </w:r>
      <w:r w:rsidR="00E57C0B" w:rsidRPr="005C380E">
        <w:rPr>
          <w:rFonts w:cs="Times New Roman"/>
          <w:color w:val="000000" w:themeColor="text1"/>
          <w:sz w:val="20"/>
          <w:szCs w:val="20"/>
        </w:rPr>
        <w:t>s one size does not fit all, Mi</w:t>
      </w:r>
      <w:r w:rsidRPr="005C380E">
        <w:rPr>
          <w:rFonts w:cs="Times New Roman"/>
          <w:color w:val="000000" w:themeColor="text1"/>
          <w:sz w:val="20"/>
          <w:szCs w:val="20"/>
        </w:rPr>
        <w:t>chael</w:t>
      </w:r>
      <w:r w:rsidR="00E57C0B" w:rsidRPr="005C380E">
        <w:rPr>
          <w:rFonts w:cs="Times New Roman"/>
          <w:color w:val="000000" w:themeColor="text1"/>
          <w:sz w:val="20"/>
          <w:szCs w:val="20"/>
        </w:rPr>
        <w:t xml:space="preserve"> will </w:t>
      </w:r>
      <w:r w:rsidRPr="005C380E">
        <w:rPr>
          <w:rFonts w:cs="Times New Roman"/>
          <w:color w:val="000000" w:themeColor="text1"/>
          <w:sz w:val="20"/>
          <w:szCs w:val="20"/>
        </w:rPr>
        <w:t xml:space="preserve">also </w:t>
      </w:r>
      <w:r w:rsidR="00E57C0B" w:rsidRPr="005C380E">
        <w:rPr>
          <w:rFonts w:cs="Times New Roman"/>
          <w:color w:val="000000" w:themeColor="text1"/>
          <w:sz w:val="20"/>
          <w:szCs w:val="20"/>
        </w:rPr>
        <w:t>discuss elements of conducting a fraud risk assessment for your consideration with focus on COSO 2013.   Additionally, Mi</w:t>
      </w:r>
      <w:r w:rsidRPr="005C380E">
        <w:rPr>
          <w:rFonts w:cs="Times New Roman"/>
          <w:color w:val="000000" w:themeColor="text1"/>
          <w:sz w:val="20"/>
          <w:szCs w:val="20"/>
        </w:rPr>
        <w:t>chael</w:t>
      </w:r>
      <w:r w:rsidR="00E57C0B" w:rsidRPr="005C380E">
        <w:rPr>
          <w:rFonts w:cs="Times New Roman"/>
          <w:color w:val="000000" w:themeColor="text1"/>
          <w:sz w:val="20"/>
          <w:szCs w:val="20"/>
        </w:rPr>
        <w:t xml:space="preserve"> will be joined by several panelists who will share how their organizations assessed the risk of fraud</w:t>
      </w:r>
      <w:r w:rsidRPr="005C380E">
        <w:rPr>
          <w:rFonts w:cs="Times New Roman"/>
          <w:color w:val="000000" w:themeColor="text1"/>
          <w:sz w:val="20"/>
          <w:szCs w:val="20"/>
        </w:rPr>
        <w:t>,</w:t>
      </w:r>
      <w:r w:rsidR="00E57C0B" w:rsidRPr="005C380E">
        <w:rPr>
          <w:rFonts w:cs="Times New Roman"/>
          <w:color w:val="000000" w:themeColor="text1"/>
          <w:sz w:val="20"/>
          <w:szCs w:val="20"/>
        </w:rPr>
        <w:t xml:space="preserve"> including some of the factors or influences embraced by their organization while performing the</w:t>
      </w:r>
      <w:r w:rsidR="005C380E" w:rsidRPr="005C380E">
        <w:rPr>
          <w:rFonts w:cs="Times New Roman"/>
          <w:color w:val="000000" w:themeColor="text1"/>
          <w:sz w:val="20"/>
          <w:szCs w:val="20"/>
        </w:rPr>
        <w:t>se</w:t>
      </w:r>
      <w:r w:rsidR="00E57C0B" w:rsidRPr="005C380E">
        <w:rPr>
          <w:rFonts w:cs="Times New Roman"/>
          <w:color w:val="000000" w:themeColor="text1"/>
          <w:sz w:val="20"/>
          <w:szCs w:val="20"/>
        </w:rPr>
        <w:t xml:space="preserve"> assessments.</w:t>
      </w:r>
    </w:p>
    <w:p w:rsidR="00706359" w:rsidRPr="005C380E" w:rsidRDefault="00706359" w:rsidP="00845C30">
      <w:pPr>
        <w:pStyle w:val="ListParagraph"/>
        <w:spacing w:after="0" w:line="240" w:lineRule="auto"/>
        <w:ind w:left="0"/>
        <w:jc w:val="both"/>
        <w:rPr>
          <w:color w:val="000000" w:themeColor="text1"/>
          <w:sz w:val="20"/>
          <w:szCs w:val="20"/>
        </w:rPr>
      </w:pPr>
    </w:p>
    <w:p w:rsidR="00C61BA9" w:rsidRPr="005C380E" w:rsidRDefault="00C61BA9" w:rsidP="00C61BA9">
      <w:pPr>
        <w:pStyle w:val="ListParagraph"/>
        <w:spacing w:after="0"/>
        <w:ind w:left="0"/>
        <w:contextualSpacing w:val="0"/>
        <w:jc w:val="both"/>
        <w:rPr>
          <w:color w:val="000000" w:themeColor="text1"/>
          <w:sz w:val="20"/>
          <w:szCs w:val="20"/>
        </w:rPr>
      </w:pPr>
      <w:r w:rsidRPr="005C380E">
        <w:rPr>
          <w:rFonts w:cs="Times New Roman"/>
          <w:bCs/>
          <w:color w:val="000000" w:themeColor="text1"/>
          <w:sz w:val="20"/>
          <w:szCs w:val="20"/>
        </w:rPr>
        <w:t xml:space="preserve">Michael Dixon </w:t>
      </w:r>
      <w:r w:rsidRPr="005C380E">
        <w:rPr>
          <w:rFonts w:cs="Times New Roman"/>
          <w:color w:val="000000" w:themeColor="text1"/>
          <w:sz w:val="20"/>
          <w:szCs w:val="20"/>
        </w:rPr>
        <w:t xml:space="preserve">has been interested in fraud since his first professional job working for the Commonwealth of Pennsylvania.  He observed many peculiarities while auditing transportation related grants, agreements and change orders where Federal and State funds were involved.  In 1999, Michael obtained his Certified Fraud Examiners designation.  He has performed many fraud related type of engagements focusing on fraud prevention and enhancing controls.  During his tenure with BlueCross of Northeastern PA, Michael assisted with the Special Investigations Unit and referred several matters to law enforcement.  He has also held positions in time at YORK® International Corporation, C-COR Incorporated, the Commonwealth of Pennsylvania and several CPA firms.  Michael has been with Experis for over ten years where he assists a diverse client with a focus on manufacturing and construction related engagements.  He is also one of the firm’s subject matter experts on the IIA’s Quality Assessment and Improvement Program (QAIP) and External Quality Assessments (EQAs).  Michael earned a BA in Accounting and MBA degrees from Bloomsburg University of Pennsylvania.  </w:t>
      </w:r>
    </w:p>
    <w:p w:rsidR="00ED0F1E" w:rsidRDefault="00ED0F1E" w:rsidP="00845C30">
      <w:pPr>
        <w:spacing w:after="0"/>
        <w:jc w:val="both"/>
        <w:rPr>
          <w:rFonts w:eastAsiaTheme="majorEastAsia" w:cs="Times New Roman"/>
          <w:b/>
          <w:bCs/>
          <w:i/>
          <w:iCs/>
          <w:color w:val="000000" w:themeColor="text1"/>
          <w:sz w:val="20"/>
          <w:szCs w:val="20"/>
        </w:rPr>
      </w:pPr>
    </w:p>
    <w:p w:rsidR="00A0689C" w:rsidRDefault="00A0689C" w:rsidP="00845C30">
      <w:pPr>
        <w:spacing w:after="0"/>
        <w:jc w:val="both"/>
        <w:rPr>
          <w:rFonts w:eastAsiaTheme="majorEastAsia" w:cs="Times New Roman"/>
          <w:b/>
          <w:bCs/>
          <w:i/>
          <w:iCs/>
          <w:color w:val="000000" w:themeColor="text1"/>
          <w:sz w:val="20"/>
          <w:szCs w:val="20"/>
        </w:rPr>
      </w:pPr>
    </w:p>
    <w:p w:rsidR="009E3349" w:rsidRPr="005C380E" w:rsidRDefault="005124BA" w:rsidP="00845C30">
      <w:pPr>
        <w:spacing w:after="0"/>
        <w:jc w:val="both"/>
        <w:rPr>
          <w:rFonts w:eastAsiaTheme="majorEastAsia" w:cs="Times New Roman"/>
          <w:b/>
          <w:bCs/>
          <w:i/>
          <w:iCs/>
          <w:color w:val="000000" w:themeColor="text1"/>
          <w:sz w:val="20"/>
          <w:szCs w:val="20"/>
        </w:rPr>
      </w:pPr>
      <w:r w:rsidRPr="005C380E">
        <w:rPr>
          <w:rFonts w:eastAsiaTheme="majorEastAsia" w:cs="Times New Roman"/>
          <w:b/>
          <w:bCs/>
          <w:i/>
          <w:iCs/>
          <w:color w:val="000000" w:themeColor="text1"/>
          <w:sz w:val="20"/>
          <w:szCs w:val="20"/>
        </w:rPr>
        <w:t>Ponzi Schemes</w:t>
      </w:r>
    </w:p>
    <w:p w:rsidR="00EF4F41" w:rsidRPr="005C380E" w:rsidRDefault="00EF4F41" w:rsidP="00845C30">
      <w:pPr>
        <w:spacing w:after="0" w:line="240" w:lineRule="auto"/>
        <w:jc w:val="both"/>
        <w:rPr>
          <w:color w:val="000000" w:themeColor="text1"/>
          <w:sz w:val="20"/>
          <w:szCs w:val="20"/>
        </w:rPr>
      </w:pPr>
      <w:r w:rsidRPr="005C380E">
        <w:rPr>
          <w:color w:val="000000" w:themeColor="text1"/>
          <w:sz w:val="20"/>
          <w:szCs w:val="20"/>
        </w:rPr>
        <w:t xml:space="preserve">Gregory Yankow, Special Agent, Federal Bureau of Investigation </w:t>
      </w:r>
    </w:p>
    <w:p w:rsidR="00EF4F41" w:rsidRPr="005C380E" w:rsidRDefault="00EF4F41" w:rsidP="00845C30">
      <w:pPr>
        <w:spacing w:after="0"/>
        <w:jc w:val="both"/>
        <w:rPr>
          <w:rFonts w:eastAsiaTheme="majorEastAsia" w:cs="Times New Roman"/>
          <w:bCs/>
          <w:iCs/>
          <w:color w:val="000000" w:themeColor="text1"/>
          <w:sz w:val="20"/>
          <w:szCs w:val="20"/>
        </w:rPr>
      </w:pPr>
    </w:p>
    <w:p w:rsidR="00051644" w:rsidRPr="005C380E" w:rsidRDefault="00051644" w:rsidP="00845C30">
      <w:pPr>
        <w:spacing w:after="0"/>
        <w:jc w:val="both"/>
        <w:rPr>
          <w:rFonts w:cs="Times New Roman"/>
          <w:color w:val="000000" w:themeColor="text1"/>
          <w:sz w:val="20"/>
          <w:szCs w:val="20"/>
        </w:rPr>
      </w:pPr>
      <w:r w:rsidRPr="005C380E">
        <w:rPr>
          <w:rFonts w:cs="Times New Roman"/>
          <w:color w:val="000000" w:themeColor="text1"/>
          <w:sz w:val="20"/>
          <w:szCs w:val="20"/>
        </w:rPr>
        <w:t xml:space="preserve">Compliance and ethics programs are designed to detect, mitigate and prevent fraud; however, it is not uncommon for organizations to spend money and resources on compliance without fully understanding the </w:t>
      </w:r>
      <w:r w:rsidR="00CA2FAD" w:rsidRPr="005C380E">
        <w:rPr>
          <w:rFonts w:cs="Times New Roman"/>
          <w:color w:val="000000" w:themeColor="text1"/>
          <w:sz w:val="20"/>
          <w:szCs w:val="20"/>
        </w:rPr>
        <w:t xml:space="preserve">purpose it is actually serving.  </w:t>
      </w:r>
      <w:r w:rsidRPr="005C380E">
        <w:rPr>
          <w:rFonts w:cs="Times New Roman"/>
          <w:color w:val="000000" w:themeColor="text1"/>
          <w:sz w:val="20"/>
          <w:szCs w:val="20"/>
        </w:rPr>
        <w:t xml:space="preserve">One problem is that many blur the compliance risk management efforts with other forms of enterprise risk management, leaving organizations, already short on resources, uncertain about how best to scope and structure effective risk assessments. </w:t>
      </w:r>
    </w:p>
    <w:p w:rsidR="00EF4F41" w:rsidRPr="005C380E" w:rsidRDefault="00EF4F41" w:rsidP="00845C30">
      <w:pPr>
        <w:spacing w:after="0"/>
        <w:jc w:val="both"/>
        <w:rPr>
          <w:rFonts w:cs="Times New Roman"/>
          <w:color w:val="000000" w:themeColor="text1"/>
          <w:sz w:val="20"/>
          <w:szCs w:val="20"/>
        </w:rPr>
      </w:pPr>
    </w:p>
    <w:p w:rsidR="00ED0F1E" w:rsidRDefault="00051644" w:rsidP="00845C30">
      <w:pPr>
        <w:spacing w:after="0"/>
        <w:jc w:val="both"/>
        <w:rPr>
          <w:rFonts w:cs="Times New Roman"/>
          <w:color w:val="000000" w:themeColor="text1"/>
          <w:sz w:val="20"/>
          <w:szCs w:val="20"/>
        </w:rPr>
      </w:pPr>
      <w:r w:rsidRPr="005C380E">
        <w:rPr>
          <w:rFonts w:cs="Times New Roman"/>
          <w:color w:val="000000" w:themeColor="text1"/>
          <w:sz w:val="20"/>
          <w:szCs w:val="20"/>
        </w:rPr>
        <w:t xml:space="preserve">In any kind of risk assessment, an organization will isolate risks that affect the organization, understand best practices, benchmark with peers, appraise and budget the cost of remediation, prioritize mitigation strategies, and use generally-accepted project management techniques to remediate the risks. </w:t>
      </w:r>
      <w:r w:rsidR="00CA2FAD" w:rsidRPr="005C380E">
        <w:rPr>
          <w:rFonts w:cs="Times New Roman"/>
          <w:color w:val="000000" w:themeColor="text1"/>
          <w:sz w:val="20"/>
          <w:szCs w:val="20"/>
        </w:rPr>
        <w:t xml:space="preserve"> </w:t>
      </w:r>
      <w:r w:rsidRPr="005C380E">
        <w:rPr>
          <w:rFonts w:cs="Times New Roman"/>
          <w:color w:val="000000" w:themeColor="text1"/>
          <w:sz w:val="20"/>
          <w:szCs w:val="20"/>
        </w:rPr>
        <w:t xml:space="preserve">This workshop will help rationalize otherwise complex compliance initiatives and streamline ways to achieve measurable and effective results. </w:t>
      </w:r>
    </w:p>
    <w:p w:rsidR="00ED0F1E" w:rsidRDefault="00ED0F1E" w:rsidP="00845C30">
      <w:pPr>
        <w:spacing w:after="0"/>
        <w:jc w:val="both"/>
        <w:rPr>
          <w:rFonts w:cs="Times New Roman"/>
          <w:color w:val="000000" w:themeColor="text1"/>
          <w:sz w:val="20"/>
          <w:szCs w:val="20"/>
        </w:rPr>
      </w:pPr>
    </w:p>
    <w:p w:rsidR="00ED0F1E" w:rsidRPr="005C380E" w:rsidRDefault="00ED0F1E" w:rsidP="00ED0F1E">
      <w:pPr>
        <w:spacing w:after="0"/>
        <w:jc w:val="both"/>
        <w:rPr>
          <w:rFonts w:cs="Times New Roman"/>
          <w:color w:val="000000" w:themeColor="text1"/>
          <w:sz w:val="20"/>
          <w:szCs w:val="20"/>
        </w:rPr>
      </w:pPr>
      <w:r w:rsidRPr="005C380E">
        <w:rPr>
          <w:rFonts w:cs="Times New Roman"/>
          <w:color w:val="000000" w:themeColor="text1"/>
          <w:sz w:val="20"/>
          <w:szCs w:val="20"/>
        </w:rPr>
        <w:lastRenderedPageBreak/>
        <w:t xml:space="preserve">The goal of </w:t>
      </w:r>
      <w:r w:rsidR="00A0689C">
        <w:rPr>
          <w:rFonts w:cs="Times New Roman"/>
          <w:color w:val="000000" w:themeColor="text1"/>
          <w:sz w:val="20"/>
          <w:szCs w:val="20"/>
        </w:rPr>
        <w:t>Gregory’s</w:t>
      </w:r>
      <w:r w:rsidRPr="005C380E">
        <w:rPr>
          <w:rFonts w:cs="Times New Roman"/>
          <w:color w:val="000000" w:themeColor="text1"/>
          <w:sz w:val="20"/>
          <w:szCs w:val="20"/>
        </w:rPr>
        <w:t xml:space="preserve"> workshop is to </w:t>
      </w:r>
      <w:r w:rsidRPr="005C380E">
        <w:rPr>
          <w:rFonts w:cs="Times New Roman"/>
          <w:bCs/>
          <w:color w:val="000000" w:themeColor="text1"/>
          <w:sz w:val="20"/>
          <w:szCs w:val="20"/>
        </w:rPr>
        <w:t xml:space="preserve">collaborate and devise ways to simplify the process for assessing risk and improving methods for tracking progress and reporting to the board and upper management.  </w:t>
      </w:r>
    </w:p>
    <w:p w:rsidR="00ED0F1E" w:rsidRPr="005C380E" w:rsidRDefault="00ED0F1E" w:rsidP="00ED0F1E">
      <w:pPr>
        <w:spacing w:after="0"/>
        <w:jc w:val="both"/>
        <w:rPr>
          <w:rFonts w:cs="Times New Roman"/>
          <w:bCs/>
          <w:color w:val="000000" w:themeColor="text1"/>
          <w:sz w:val="20"/>
          <w:szCs w:val="20"/>
        </w:rPr>
      </w:pPr>
    </w:p>
    <w:p w:rsidR="00ED0F1E" w:rsidRPr="005C380E" w:rsidRDefault="00ED0F1E" w:rsidP="00ED0F1E">
      <w:pPr>
        <w:spacing w:after="0"/>
        <w:jc w:val="both"/>
        <w:rPr>
          <w:rFonts w:cs="Times New Roman"/>
          <w:color w:val="000000" w:themeColor="text1"/>
          <w:sz w:val="20"/>
          <w:szCs w:val="20"/>
        </w:rPr>
      </w:pPr>
      <w:r w:rsidRPr="005C380E">
        <w:rPr>
          <w:rFonts w:cs="Times New Roman"/>
          <w:bCs/>
          <w:color w:val="000000" w:themeColor="text1"/>
          <w:sz w:val="20"/>
          <w:szCs w:val="20"/>
        </w:rPr>
        <w:t>I</w:t>
      </w:r>
      <w:r w:rsidRPr="005C380E">
        <w:rPr>
          <w:rFonts w:cs="Times New Roman"/>
          <w:color w:val="000000" w:themeColor="text1"/>
          <w:sz w:val="20"/>
          <w:szCs w:val="20"/>
        </w:rPr>
        <w:t xml:space="preserve">n this interactive </w:t>
      </w:r>
      <w:r w:rsidR="00A0689C">
        <w:rPr>
          <w:rFonts w:cs="Times New Roman"/>
          <w:color w:val="000000" w:themeColor="text1"/>
          <w:sz w:val="20"/>
          <w:szCs w:val="20"/>
        </w:rPr>
        <w:t>session</w:t>
      </w:r>
      <w:r w:rsidRPr="005C380E">
        <w:rPr>
          <w:rFonts w:cs="Times New Roman"/>
          <w:color w:val="000000" w:themeColor="text1"/>
          <w:sz w:val="20"/>
          <w:szCs w:val="20"/>
        </w:rPr>
        <w:t xml:space="preserve"> we will: </w:t>
      </w:r>
    </w:p>
    <w:p w:rsidR="00ED0F1E" w:rsidRPr="005C380E" w:rsidRDefault="00ED0F1E" w:rsidP="00ED0F1E">
      <w:pPr>
        <w:numPr>
          <w:ilvl w:val="0"/>
          <w:numId w:val="10"/>
        </w:numPr>
        <w:spacing w:after="0" w:line="240" w:lineRule="auto"/>
        <w:ind w:left="360"/>
        <w:jc w:val="both"/>
        <w:rPr>
          <w:rFonts w:eastAsia="Times New Roman" w:cs="Times New Roman"/>
          <w:color w:val="000000" w:themeColor="text1"/>
          <w:sz w:val="20"/>
          <w:szCs w:val="20"/>
        </w:rPr>
      </w:pPr>
      <w:r w:rsidRPr="005C380E">
        <w:rPr>
          <w:rFonts w:eastAsia="Times New Roman" w:cs="Times New Roman"/>
          <w:color w:val="000000" w:themeColor="text1"/>
          <w:sz w:val="20"/>
          <w:szCs w:val="20"/>
        </w:rPr>
        <w:t>Review the drivers for why organizations are constrained to manage risk continuously</w:t>
      </w:r>
    </w:p>
    <w:p w:rsidR="00ED0F1E" w:rsidRPr="005C380E" w:rsidRDefault="00ED0F1E" w:rsidP="00ED0F1E">
      <w:pPr>
        <w:numPr>
          <w:ilvl w:val="0"/>
          <w:numId w:val="10"/>
        </w:numPr>
        <w:spacing w:after="0" w:line="240" w:lineRule="auto"/>
        <w:ind w:left="360"/>
        <w:jc w:val="both"/>
        <w:rPr>
          <w:rFonts w:eastAsia="Times New Roman" w:cs="Times New Roman"/>
          <w:color w:val="000000" w:themeColor="text1"/>
          <w:sz w:val="20"/>
          <w:szCs w:val="20"/>
        </w:rPr>
      </w:pPr>
      <w:r w:rsidRPr="005C380E">
        <w:rPr>
          <w:rFonts w:eastAsia="Times New Roman" w:cs="Times New Roman"/>
          <w:color w:val="000000" w:themeColor="text1"/>
          <w:sz w:val="20"/>
          <w:szCs w:val="20"/>
        </w:rPr>
        <w:t xml:space="preserve">Explore the importance of understanding organizational culture as a means for mitigating risk </w:t>
      </w:r>
    </w:p>
    <w:p w:rsidR="00ED0F1E" w:rsidRPr="005C380E" w:rsidRDefault="00ED0F1E" w:rsidP="00ED0F1E">
      <w:pPr>
        <w:numPr>
          <w:ilvl w:val="0"/>
          <w:numId w:val="10"/>
        </w:numPr>
        <w:spacing w:after="0" w:line="240" w:lineRule="auto"/>
        <w:ind w:left="360"/>
        <w:jc w:val="both"/>
        <w:rPr>
          <w:rFonts w:eastAsia="Times New Roman" w:cs="Times New Roman"/>
          <w:color w:val="000000" w:themeColor="text1"/>
          <w:sz w:val="20"/>
          <w:szCs w:val="20"/>
        </w:rPr>
      </w:pPr>
      <w:r w:rsidRPr="005C380E">
        <w:rPr>
          <w:rFonts w:eastAsia="Times New Roman" w:cs="Times New Roman"/>
          <w:color w:val="000000" w:themeColor="text1"/>
          <w:sz w:val="20"/>
          <w:szCs w:val="20"/>
        </w:rPr>
        <w:t xml:space="preserve">Develop common process language for measuring progress </w:t>
      </w:r>
    </w:p>
    <w:p w:rsidR="00ED0F1E" w:rsidRPr="005C380E" w:rsidRDefault="00ED0F1E" w:rsidP="00ED0F1E">
      <w:pPr>
        <w:numPr>
          <w:ilvl w:val="0"/>
          <w:numId w:val="10"/>
        </w:numPr>
        <w:spacing w:after="0" w:line="240" w:lineRule="auto"/>
        <w:ind w:left="360"/>
        <w:jc w:val="both"/>
        <w:rPr>
          <w:rFonts w:eastAsia="Times New Roman" w:cs="Times New Roman"/>
          <w:color w:val="000000" w:themeColor="text1"/>
          <w:sz w:val="20"/>
          <w:szCs w:val="20"/>
        </w:rPr>
      </w:pPr>
      <w:r w:rsidRPr="005C380E">
        <w:rPr>
          <w:rFonts w:eastAsia="Times New Roman" w:cs="Times New Roman"/>
          <w:color w:val="000000" w:themeColor="text1"/>
          <w:sz w:val="20"/>
          <w:szCs w:val="20"/>
        </w:rPr>
        <w:t xml:space="preserve">Integrate objective checkpoints and measurable key risk indicators </w:t>
      </w:r>
    </w:p>
    <w:p w:rsidR="00ED0F1E" w:rsidRPr="005C380E" w:rsidRDefault="00ED0F1E" w:rsidP="00ED0F1E">
      <w:pPr>
        <w:numPr>
          <w:ilvl w:val="0"/>
          <w:numId w:val="10"/>
        </w:numPr>
        <w:spacing w:after="0" w:line="240" w:lineRule="auto"/>
        <w:ind w:left="360"/>
        <w:jc w:val="both"/>
        <w:rPr>
          <w:rFonts w:eastAsia="Times New Roman" w:cs="Times New Roman"/>
          <w:color w:val="000000" w:themeColor="text1"/>
          <w:sz w:val="20"/>
          <w:szCs w:val="20"/>
        </w:rPr>
      </w:pPr>
      <w:r w:rsidRPr="005C380E">
        <w:rPr>
          <w:rFonts w:eastAsia="Times New Roman" w:cs="Times New Roman"/>
          <w:color w:val="000000" w:themeColor="text1"/>
          <w:sz w:val="20"/>
          <w:szCs w:val="20"/>
        </w:rPr>
        <w:t xml:space="preserve">Design organic dashboards and timelines to highlight and report progress </w:t>
      </w:r>
    </w:p>
    <w:p w:rsidR="00ED0F1E" w:rsidRPr="005C380E" w:rsidRDefault="00ED0F1E" w:rsidP="00ED0F1E">
      <w:pPr>
        <w:numPr>
          <w:ilvl w:val="0"/>
          <w:numId w:val="10"/>
        </w:numPr>
        <w:spacing w:after="0" w:line="240" w:lineRule="auto"/>
        <w:ind w:left="360"/>
        <w:jc w:val="both"/>
        <w:rPr>
          <w:rFonts w:eastAsia="Times New Roman" w:cs="Times New Roman"/>
          <w:color w:val="000000" w:themeColor="text1"/>
          <w:sz w:val="20"/>
          <w:szCs w:val="20"/>
        </w:rPr>
      </w:pPr>
      <w:r w:rsidRPr="005C380E">
        <w:rPr>
          <w:rFonts w:eastAsia="Times New Roman" w:cs="Times New Roman"/>
          <w:color w:val="000000" w:themeColor="text1"/>
          <w:sz w:val="20"/>
          <w:szCs w:val="20"/>
        </w:rPr>
        <w:t>Build the case for assessment and remediation as part of the strategic planning process</w:t>
      </w:r>
    </w:p>
    <w:p w:rsidR="00ED0F1E" w:rsidRPr="005C380E" w:rsidRDefault="00ED0F1E" w:rsidP="00ED0F1E">
      <w:pPr>
        <w:numPr>
          <w:ilvl w:val="0"/>
          <w:numId w:val="10"/>
        </w:numPr>
        <w:spacing w:after="0" w:line="240" w:lineRule="auto"/>
        <w:ind w:left="360"/>
        <w:jc w:val="both"/>
        <w:rPr>
          <w:rFonts w:eastAsia="Times New Roman" w:cs="Times New Roman"/>
          <w:color w:val="000000" w:themeColor="text1"/>
          <w:sz w:val="20"/>
          <w:szCs w:val="20"/>
        </w:rPr>
      </w:pPr>
      <w:r w:rsidRPr="005C380E">
        <w:rPr>
          <w:rFonts w:eastAsia="Times New Roman" w:cs="Times New Roman"/>
          <w:color w:val="000000" w:themeColor="text1"/>
          <w:sz w:val="20"/>
          <w:szCs w:val="20"/>
        </w:rPr>
        <w:t>Partner with audit, IT and other key corporate functions for testing, training, policymaking and ongoing awareness.</w:t>
      </w:r>
    </w:p>
    <w:p w:rsidR="00CA2FAD" w:rsidRPr="005C380E" w:rsidRDefault="00CA2FAD" w:rsidP="00845C30">
      <w:pPr>
        <w:spacing w:after="0"/>
        <w:jc w:val="both"/>
        <w:rPr>
          <w:rFonts w:cs="Times New Roman"/>
          <w:color w:val="000000" w:themeColor="text1"/>
          <w:sz w:val="20"/>
          <w:szCs w:val="20"/>
        </w:rPr>
      </w:pPr>
    </w:p>
    <w:p w:rsidR="00717086" w:rsidRPr="005C380E" w:rsidRDefault="00492469" w:rsidP="00845C30">
      <w:pPr>
        <w:spacing w:after="0"/>
        <w:jc w:val="both"/>
        <w:rPr>
          <w:rFonts w:cs="Times New Roman"/>
          <w:bCs/>
          <w:color w:val="000000" w:themeColor="text1"/>
          <w:sz w:val="20"/>
          <w:szCs w:val="20"/>
        </w:rPr>
      </w:pPr>
      <w:r w:rsidRPr="005C380E">
        <w:rPr>
          <w:rFonts w:cs="Times New Roman"/>
          <w:bCs/>
          <w:color w:val="000000" w:themeColor="text1"/>
          <w:sz w:val="20"/>
          <w:szCs w:val="20"/>
        </w:rPr>
        <w:t xml:space="preserve">Gregory </w:t>
      </w:r>
      <w:r w:rsidR="005C380E" w:rsidRPr="005C380E">
        <w:rPr>
          <w:rFonts w:cs="Times New Roman"/>
          <w:bCs/>
          <w:color w:val="000000" w:themeColor="text1"/>
          <w:sz w:val="20"/>
          <w:szCs w:val="20"/>
        </w:rPr>
        <w:t xml:space="preserve">Yankow </w:t>
      </w:r>
      <w:r w:rsidR="00717086" w:rsidRPr="005C380E">
        <w:rPr>
          <w:rFonts w:cs="Times New Roman"/>
          <w:bCs/>
          <w:color w:val="000000" w:themeColor="text1"/>
          <w:sz w:val="20"/>
          <w:szCs w:val="20"/>
        </w:rPr>
        <w:t xml:space="preserve">has been a Special Agent with the FBI for 13 years and has worked financial crimes since 2003. </w:t>
      </w:r>
      <w:r w:rsidRPr="005C380E">
        <w:rPr>
          <w:rFonts w:cs="Times New Roman"/>
          <w:bCs/>
          <w:color w:val="000000" w:themeColor="text1"/>
          <w:sz w:val="20"/>
          <w:szCs w:val="20"/>
        </w:rPr>
        <w:t xml:space="preserve"> He</w:t>
      </w:r>
      <w:r w:rsidR="00717086" w:rsidRPr="005C380E">
        <w:rPr>
          <w:rFonts w:cs="Times New Roman"/>
          <w:bCs/>
          <w:color w:val="000000" w:themeColor="text1"/>
          <w:sz w:val="20"/>
          <w:szCs w:val="20"/>
        </w:rPr>
        <w:t xml:space="preserve"> was the recipient of the 2012 FLEO Investigator of the Year Award and has been nominated for the FBI Directors Award twice during his career.</w:t>
      </w:r>
      <w:r w:rsidRPr="005C380E">
        <w:rPr>
          <w:rFonts w:cs="Times New Roman"/>
          <w:bCs/>
          <w:color w:val="000000" w:themeColor="text1"/>
          <w:sz w:val="20"/>
          <w:szCs w:val="20"/>
        </w:rPr>
        <w:t xml:space="preserve">  Gregory’s</w:t>
      </w:r>
      <w:r w:rsidR="00717086" w:rsidRPr="005C380E">
        <w:rPr>
          <w:rFonts w:cs="Times New Roman"/>
          <w:bCs/>
          <w:color w:val="000000" w:themeColor="text1"/>
          <w:sz w:val="20"/>
          <w:szCs w:val="20"/>
        </w:rPr>
        <w:t xml:space="preserve"> investigation into the Nevin Shapiro Ponzi Scheme was featured on the television program American Greed (Major League Fraud) and ESPN’s 30 for 30 (The U Part II). </w:t>
      </w:r>
      <w:r w:rsidRPr="005C380E">
        <w:rPr>
          <w:rFonts w:cs="Times New Roman"/>
          <w:bCs/>
          <w:color w:val="000000" w:themeColor="text1"/>
          <w:sz w:val="20"/>
          <w:szCs w:val="20"/>
        </w:rPr>
        <w:t xml:space="preserve"> Gregory</w:t>
      </w:r>
      <w:r w:rsidR="00717086" w:rsidRPr="005C380E">
        <w:rPr>
          <w:rFonts w:cs="Times New Roman"/>
          <w:bCs/>
          <w:color w:val="000000" w:themeColor="text1"/>
          <w:sz w:val="20"/>
          <w:szCs w:val="20"/>
        </w:rPr>
        <w:t xml:space="preserve"> is a certified FBI Firearms Instructor and </w:t>
      </w:r>
      <w:r w:rsidRPr="005C380E">
        <w:rPr>
          <w:rFonts w:cs="Times New Roman"/>
          <w:bCs/>
          <w:color w:val="000000" w:themeColor="text1"/>
          <w:sz w:val="20"/>
          <w:szCs w:val="20"/>
        </w:rPr>
        <w:t xml:space="preserve">an </w:t>
      </w:r>
      <w:r w:rsidR="00717086" w:rsidRPr="005C380E">
        <w:rPr>
          <w:rFonts w:cs="Times New Roman"/>
          <w:bCs/>
          <w:color w:val="000000" w:themeColor="text1"/>
          <w:sz w:val="20"/>
          <w:szCs w:val="20"/>
        </w:rPr>
        <w:t>FBI Fitness Advisor.</w:t>
      </w:r>
      <w:r w:rsidR="005C380E" w:rsidRPr="005C380E">
        <w:rPr>
          <w:rFonts w:cs="Times New Roman"/>
          <w:bCs/>
          <w:color w:val="000000" w:themeColor="text1"/>
          <w:sz w:val="20"/>
          <w:szCs w:val="20"/>
        </w:rPr>
        <w:t xml:space="preserve">  </w:t>
      </w:r>
      <w:r w:rsidR="00717086" w:rsidRPr="005C380E">
        <w:rPr>
          <w:rFonts w:cs="Times New Roman"/>
          <w:bCs/>
          <w:color w:val="000000" w:themeColor="text1"/>
          <w:sz w:val="20"/>
          <w:szCs w:val="20"/>
        </w:rPr>
        <w:t xml:space="preserve">Prior to joining the FBI, </w:t>
      </w:r>
      <w:r w:rsidRPr="005C380E">
        <w:rPr>
          <w:rFonts w:cs="Times New Roman"/>
          <w:bCs/>
          <w:color w:val="000000" w:themeColor="text1"/>
          <w:sz w:val="20"/>
          <w:szCs w:val="20"/>
        </w:rPr>
        <w:t>Gregory</w:t>
      </w:r>
      <w:r w:rsidR="00717086" w:rsidRPr="005C380E">
        <w:rPr>
          <w:rFonts w:cs="Times New Roman"/>
          <w:bCs/>
          <w:color w:val="000000" w:themeColor="text1"/>
          <w:sz w:val="20"/>
          <w:szCs w:val="20"/>
        </w:rPr>
        <w:t xml:space="preserve"> worked for six years in the investment industry. </w:t>
      </w:r>
      <w:r w:rsidRPr="005C380E">
        <w:rPr>
          <w:rFonts w:cs="Times New Roman"/>
          <w:bCs/>
          <w:color w:val="000000" w:themeColor="text1"/>
          <w:sz w:val="20"/>
          <w:szCs w:val="20"/>
        </w:rPr>
        <w:t xml:space="preserve"> He</w:t>
      </w:r>
      <w:r w:rsidR="00717086" w:rsidRPr="005C380E">
        <w:rPr>
          <w:rFonts w:cs="Times New Roman"/>
          <w:bCs/>
          <w:color w:val="000000" w:themeColor="text1"/>
          <w:sz w:val="20"/>
          <w:szCs w:val="20"/>
        </w:rPr>
        <w:t xml:space="preserve"> holds a BS in Computer Science, is a licensed pilot, and enjoys hiking and mountaineering.</w:t>
      </w:r>
    </w:p>
    <w:sectPr w:rsidR="00717086" w:rsidRPr="005C380E" w:rsidSect="00A747A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00" w:rsidRDefault="00444F00" w:rsidP="00DB2A0E">
      <w:pPr>
        <w:spacing w:after="0" w:line="240" w:lineRule="auto"/>
      </w:pPr>
      <w:r>
        <w:separator/>
      </w:r>
    </w:p>
  </w:endnote>
  <w:endnote w:type="continuationSeparator" w:id="0">
    <w:p w:rsidR="00444F00" w:rsidRDefault="00444F00" w:rsidP="00DB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990"/>
      <w:docPartObj>
        <w:docPartGallery w:val="Page Numbers (Bottom of Page)"/>
        <w:docPartUnique/>
      </w:docPartObj>
    </w:sdtPr>
    <w:sdtEndPr/>
    <w:sdtContent>
      <w:p w:rsidR="005C380E" w:rsidRDefault="002D17DE">
        <w:pPr>
          <w:pStyle w:val="Footer"/>
          <w:jc w:val="center"/>
        </w:pPr>
        <w:r>
          <w:fldChar w:fldCharType="begin"/>
        </w:r>
        <w:r w:rsidR="00154750">
          <w:instrText xml:space="preserve"> PAGE   \* MERGEFORMAT </w:instrText>
        </w:r>
        <w:r>
          <w:fldChar w:fldCharType="separate"/>
        </w:r>
        <w:r w:rsidR="00602BF5">
          <w:rPr>
            <w:noProof/>
          </w:rPr>
          <w:t>1</w:t>
        </w:r>
        <w:r>
          <w:rPr>
            <w:noProof/>
          </w:rPr>
          <w:fldChar w:fldCharType="end"/>
        </w:r>
      </w:p>
    </w:sdtContent>
  </w:sdt>
  <w:p w:rsidR="005C380E" w:rsidRDefault="005C3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00" w:rsidRDefault="00444F00" w:rsidP="00DB2A0E">
      <w:pPr>
        <w:spacing w:after="0" w:line="240" w:lineRule="auto"/>
      </w:pPr>
      <w:r>
        <w:separator/>
      </w:r>
    </w:p>
  </w:footnote>
  <w:footnote w:type="continuationSeparator" w:id="0">
    <w:p w:rsidR="00444F00" w:rsidRDefault="00444F00" w:rsidP="00DB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B847BE"/>
    <w:lvl w:ilvl="0">
      <w:numFmt w:val="decimal"/>
      <w:lvlText w:val="*"/>
      <w:lvlJc w:val="left"/>
    </w:lvl>
  </w:abstractNum>
  <w:abstractNum w:abstractNumId="1">
    <w:nsid w:val="161603A3"/>
    <w:multiLevelType w:val="hybridMultilevel"/>
    <w:tmpl w:val="87E8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F417E"/>
    <w:multiLevelType w:val="hybridMultilevel"/>
    <w:tmpl w:val="768C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47285"/>
    <w:multiLevelType w:val="hybridMultilevel"/>
    <w:tmpl w:val="4EEC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71335"/>
    <w:multiLevelType w:val="hybridMultilevel"/>
    <w:tmpl w:val="2768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D7992"/>
    <w:multiLevelType w:val="hybridMultilevel"/>
    <w:tmpl w:val="836AE3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296F75"/>
    <w:multiLevelType w:val="hybridMultilevel"/>
    <w:tmpl w:val="69EC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F1EC8"/>
    <w:multiLevelType w:val="hybridMultilevel"/>
    <w:tmpl w:val="2E40D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BE5420"/>
    <w:multiLevelType w:val="hybridMultilevel"/>
    <w:tmpl w:val="4104A26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nsid w:val="53D13776"/>
    <w:multiLevelType w:val="multilevel"/>
    <w:tmpl w:val="F5708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5CE38A3"/>
    <w:multiLevelType w:val="hybridMultilevel"/>
    <w:tmpl w:val="22F0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F251B"/>
    <w:multiLevelType w:val="hybridMultilevel"/>
    <w:tmpl w:val="7DF45D54"/>
    <w:lvl w:ilvl="0" w:tplc="C8002CB2">
      <w:start w:val="1"/>
      <w:numFmt w:val="bullet"/>
      <w:lvlText w:val=""/>
      <w:lvlJc w:val="left"/>
      <w:pPr>
        <w:tabs>
          <w:tab w:val="num" w:pos="720"/>
        </w:tabs>
        <w:ind w:left="720" w:hanging="360"/>
      </w:pPr>
      <w:rPr>
        <w:rFonts w:ascii="Wingdings" w:hAnsi="Wingdings" w:hint="default"/>
      </w:rPr>
    </w:lvl>
    <w:lvl w:ilvl="1" w:tplc="FE3E3AFC">
      <w:start w:val="2425"/>
      <w:numFmt w:val="bullet"/>
      <w:lvlText w:val=""/>
      <w:lvlJc w:val="left"/>
      <w:pPr>
        <w:tabs>
          <w:tab w:val="num" w:pos="1440"/>
        </w:tabs>
        <w:ind w:left="1440" w:hanging="360"/>
      </w:pPr>
      <w:rPr>
        <w:rFonts w:ascii="Wingdings" w:hAnsi="Wingdings" w:hint="default"/>
      </w:rPr>
    </w:lvl>
    <w:lvl w:ilvl="2" w:tplc="687CB3C4" w:tentative="1">
      <w:start w:val="1"/>
      <w:numFmt w:val="bullet"/>
      <w:lvlText w:val=""/>
      <w:lvlJc w:val="left"/>
      <w:pPr>
        <w:tabs>
          <w:tab w:val="num" w:pos="2160"/>
        </w:tabs>
        <w:ind w:left="2160" w:hanging="360"/>
      </w:pPr>
      <w:rPr>
        <w:rFonts w:ascii="Wingdings" w:hAnsi="Wingdings" w:hint="default"/>
      </w:rPr>
    </w:lvl>
    <w:lvl w:ilvl="3" w:tplc="DF8E02B0" w:tentative="1">
      <w:start w:val="1"/>
      <w:numFmt w:val="bullet"/>
      <w:lvlText w:val=""/>
      <w:lvlJc w:val="left"/>
      <w:pPr>
        <w:tabs>
          <w:tab w:val="num" w:pos="2880"/>
        </w:tabs>
        <w:ind w:left="2880" w:hanging="360"/>
      </w:pPr>
      <w:rPr>
        <w:rFonts w:ascii="Wingdings" w:hAnsi="Wingdings" w:hint="default"/>
      </w:rPr>
    </w:lvl>
    <w:lvl w:ilvl="4" w:tplc="557629FC" w:tentative="1">
      <w:start w:val="1"/>
      <w:numFmt w:val="bullet"/>
      <w:lvlText w:val=""/>
      <w:lvlJc w:val="left"/>
      <w:pPr>
        <w:tabs>
          <w:tab w:val="num" w:pos="3600"/>
        </w:tabs>
        <w:ind w:left="3600" w:hanging="360"/>
      </w:pPr>
      <w:rPr>
        <w:rFonts w:ascii="Wingdings" w:hAnsi="Wingdings" w:hint="default"/>
      </w:rPr>
    </w:lvl>
    <w:lvl w:ilvl="5" w:tplc="2D103456" w:tentative="1">
      <w:start w:val="1"/>
      <w:numFmt w:val="bullet"/>
      <w:lvlText w:val=""/>
      <w:lvlJc w:val="left"/>
      <w:pPr>
        <w:tabs>
          <w:tab w:val="num" w:pos="4320"/>
        </w:tabs>
        <w:ind w:left="4320" w:hanging="360"/>
      </w:pPr>
      <w:rPr>
        <w:rFonts w:ascii="Wingdings" w:hAnsi="Wingdings" w:hint="default"/>
      </w:rPr>
    </w:lvl>
    <w:lvl w:ilvl="6" w:tplc="44F82BE8" w:tentative="1">
      <w:start w:val="1"/>
      <w:numFmt w:val="bullet"/>
      <w:lvlText w:val=""/>
      <w:lvlJc w:val="left"/>
      <w:pPr>
        <w:tabs>
          <w:tab w:val="num" w:pos="5040"/>
        </w:tabs>
        <w:ind w:left="5040" w:hanging="360"/>
      </w:pPr>
      <w:rPr>
        <w:rFonts w:ascii="Wingdings" w:hAnsi="Wingdings" w:hint="default"/>
      </w:rPr>
    </w:lvl>
    <w:lvl w:ilvl="7" w:tplc="E38C2D26" w:tentative="1">
      <w:start w:val="1"/>
      <w:numFmt w:val="bullet"/>
      <w:lvlText w:val=""/>
      <w:lvlJc w:val="left"/>
      <w:pPr>
        <w:tabs>
          <w:tab w:val="num" w:pos="5760"/>
        </w:tabs>
        <w:ind w:left="5760" w:hanging="360"/>
      </w:pPr>
      <w:rPr>
        <w:rFonts w:ascii="Wingdings" w:hAnsi="Wingdings" w:hint="default"/>
      </w:rPr>
    </w:lvl>
    <w:lvl w:ilvl="8" w:tplc="7EB686A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10"/>
  </w:num>
  <w:num w:numId="6">
    <w:abstractNumId w:val="11"/>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9">
    <w:abstractNumId w:val="7"/>
  </w:num>
  <w:num w:numId="10">
    <w:abstractNumId w:val="9"/>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5F"/>
    <w:rsid w:val="00004BC0"/>
    <w:rsid w:val="00005704"/>
    <w:rsid w:val="00036B01"/>
    <w:rsid w:val="0004600A"/>
    <w:rsid w:val="00046EC4"/>
    <w:rsid w:val="00050A33"/>
    <w:rsid w:val="00051644"/>
    <w:rsid w:val="00053969"/>
    <w:rsid w:val="0007325F"/>
    <w:rsid w:val="00087095"/>
    <w:rsid w:val="000876A8"/>
    <w:rsid w:val="000C30AA"/>
    <w:rsid w:val="000C49A9"/>
    <w:rsid w:val="000D568F"/>
    <w:rsid w:val="000D6F83"/>
    <w:rsid w:val="000D7044"/>
    <w:rsid w:val="000E7EAC"/>
    <w:rsid w:val="00104000"/>
    <w:rsid w:val="001219F0"/>
    <w:rsid w:val="00154750"/>
    <w:rsid w:val="00185695"/>
    <w:rsid w:val="001911F6"/>
    <w:rsid w:val="001B240C"/>
    <w:rsid w:val="001C1361"/>
    <w:rsid w:val="001C5F44"/>
    <w:rsid w:val="00212CED"/>
    <w:rsid w:val="00235DA6"/>
    <w:rsid w:val="002567C5"/>
    <w:rsid w:val="002674C2"/>
    <w:rsid w:val="002675A2"/>
    <w:rsid w:val="002719CF"/>
    <w:rsid w:val="002A00AB"/>
    <w:rsid w:val="002B2CCA"/>
    <w:rsid w:val="002D17DE"/>
    <w:rsid w:val="002E681C"/>
    <w:rsid w:val="003029AE"/>
    <w:rsid w:val="0031308C"/>
    <w:rsid w:val="00325A9A"/>
    <w:rsid w:val="00331EF8"/>
    <w:rsid w:val="003550DB"/>
    <w:rsid w:val="00367A9D"/>
    <w:rsid w:val="00387BD8"/>
    <w:rsid w:val="003963E3"/>
    <w:rsid w:val="00396676"/>
    <w:rsid w:val="003A64A1"/>
    <w:rsid w:val="003B2BB1"/>
    <w:rsid w:val="003C5734"/>
    <w:rsid w:val="003D0ACD"/>
    <w:rsid w:val="00410D2F"/>
    <w:rsid w:val="00413200"/>
    <w:rsid w:val="004358D1"/>
    <w:rsid w:val="00444F00"/>
    <w:rsid w:val="00447061"/>
    <w:rsid w:val="004712A7"/>
    <w:rsid w:val="00483F58"/>
    <w:rsid w:val="00492469"/>
    <w:rsid w:val="004D15A0"/>
    <w:rsid w:val="004E6D4D"/>
    <w:rsid w:val="004E7088"/>
    <w:rsid w:val="005124BA"/>
    <w:rsid w:val="0051734A"/>
    <w:rsid w:val="00540394"/>
    <w:rsid w:val="00543077"/>
    <w:rsid w:val="005455AC"/>
    <w:rsid w:val="00550280"/>
    <w:rsid w:val="00552EB1"/>
    <w:rsid w:val="00555A28"/>
    <w:rsid w:val="005B6F75"/>
    <w:rsid w:val="005B7855"/>
    <w:rsid w:val="005C380E"/>
    <w:rsid w:val="005D6078"/>
    <w:rsid w:val="005E21A1"/>
    <w:rsid w:val="006007F6"/>
    <w:rsid w:val="00602BF5"/>
    <w:rsid w:val="00605F14"/>
    <w:rsid w:val="0061257A"/>
    <w:rsid w:val="00642301"/>
    <w:rsid w:val="0064532F"/>
    <w:rsid w:val="006504E3"/>
    <w:rsid w:val="00662CAD"/>
    <w:rsid w:val="00670DB7"/>
    <w:rsid w:val="00672ECE"/>
    <w:rsid w:val="006948BC"/>
    <w:rsid w:val="0069668D"/>
    <w:rsid w:val="006A3A36"/>
    <w:rsid w:val="006B4F81"/>
    <w:rsid w:val="006B7773"/>
    <w:rsid w:val="006C17A2"/>
    <w:rsid w:val="006D0AAD"/>
    <w:rsid w:val="006D6B34"/>
    <w:rsid w:val="006F3616"/>
    <w:rsid w:val="007022F2"/>
    <w:rsid w:val="00703935"/>
    <w:rsid w:val="00706359"/>
    <w:rsid w:val="00717086"/>
    <w:rsid w:val="00752457"/>
    <w:rsid w:val="00752D6B"/>
    <w:rsid w:val="00761335"/>
    <w:rsid w:val="00762CB0"/>
    <w:rsid w:val="00765EFA"/>
    <w:rsid w:val="00767841"/>
    <w:rsid w:val="00770287"/>
    <w:rsid w:val="00783F6A"/>
    <w:rsid w:val="007A1985"/>
    <w:rsid w:val="007A2184"/>
    <w:rsid w:val="007E2C24"/>
    <w:rsid w:val="007E487D"/>
    <w:rsid w:val="00810E53"/>
    <w:rsid w:val="00834453"/>
    <w:rsid w:val="00845C30"/>
    <w:rsid w:val="00856D29"/>
    <w:rsid w:val="00871674"/>
    <w:rsid w:val="00883818"/>
    <w:rsid w:val="008F24D3"/>
    <w:rsid w:val="009052F2"/>
    <w:rsid w:val="009176B4"/>
    <w:rsid w:val="00937DBC"/>
    <w:rsid w:val="009A190F"/>
    <w:rsid w:val="009C52DE"/>
    <w:rsid w:val="009D791C"/>
    <w:rsid w:val="009E3349"/>
    <w:rsid w:val="00A009A5"/>
    <w:rsid w:val="00A02247"/>
    <w:rsid w:val="00A0689C"/>
    <w:rsid w:val="00A62C58"/>
    <w:rsid w:val="00A747A8"/>
    <w:rsid w:val="00A972F9"/>
    <w:rsid w:val="00AB173C"/>
    <w:rsid w:val="00AC2BB7"/>
    <w:rsid w:val="00AC5CF7"/>
    <w:rsid w:val="00AE1BE7"/>
    <w:rsid w:val="00AE40B6"/>
    <w:rsid w:val="00AE6F20"/>
    <w:rsid w:val="00AF7042"/>
    <w:rsid w:val="00B01209"/>
    <w:rsid w:val="00B01947"/>
    <w:rsid w:val="00B13A5E"/>
    <w:rsid w:val="00B1734E"/>
    <w:rsid w:val="00B42214"/>
    <w:rsid w:val="00B46DB6"/>
    <w:rsid w:val="00B50312"/>
    <w:rsid w:val="00B55269"/>
    <w:rsid w:val="00B61680"/>
    <w:rsid w:val="00B76404"/>
    <w:rsid w:val="00B938DC"/>
    <w:rsid w:val="00BA3746"/>
    <w:rsid w:val="00BA7D74"/>
    <w:rsid w:val="00BC7776"/>
    <w:rsid w:val="00BE7B93"/>
    <w:rsid w:val="00C4064B"/>
    <w:rsid w:val="00C5193F"/>
    <w:rsid w:val="00C56672"/>
    <w:rsid w:val="00C61BA9"/>
    <w:rsid w:val="00C65E34"/>
    <w:rsid w:val="00C7030B"/>
    <w:rsid w:val="00CA1223"/>
    <w:rsid w:val="00CA2FAD"/>
    <w:rsid w:val="00CB5FD6"/>
    <w:rsid w:val="00D0387F"/>
    <w:rsid w:val="00D03D9F"/>
    <w:rsid w:val="00D05752"/>
    <w:rsid w:val="00D05928"/>
    <w:rsid w:val="00D13147"/>
    <w:rsid w:val="00D24613"/>
    <w:rsid w:val="00D47A4C"/>
    <w:rsid w:val="00D82D15"/>
    <w:rsid w:val="00D941AE"/>
    <w:rsid w:val="00DA1ECC"/>
    <w:rsid w:val="00DA60C0"/>
    <w:rsid w:val="00DB2A0E"/>
    <w:rsid w:val="00DC0636"/>
    <w:rsid w:val="00DC6FE5"/>
    <w:rsid w:val="00DD1166"/>
    <w:rsid w:val="00DD5033"/>
    <w:rsid w:val="00DE51C9"/>
    <w:rsid w:val="00DE7116"/>
    <w:rsid w:val="00DF5D26"/>
    <w:rsid w:val="00E01E46"/>
    <w:rsid w:val="00E10C86"/>
    <w:rsid w:val="00E338C6"/>
    <w:rsid w:val="00E3688E"/>
    <w:rsid w:val="00E418B6"/>
    <w:rsid w:val="00E50DCF"/>
    <w:rsid w:val="00E57C0B"/>
    <w:rsid w:val="00E65AFC"/>
    <w:rsid w:val="00E84F8B"/>
    <w:rsid w:val="00E86897"/>
    <w:rsid w:val="00E95DD1"/>
    <w:rsid w:val="00EA4B05"/>
    <w:rsid w:val="00EB5D67"/>
    <w:rsid w:val="00EB6CB8"/>
    <w:rsid w:val="00EB6F29"/>
    <w:rsid w:val="00EC0FF8"/>
    <w:rsid w:val="00EC7435"/>
    <w:rsid w:val="00ED0F1E"/>
    <w:rsid w:val="00ED1617"/>
    <w:rsid w:val="00ED2E20"/>
    <w:rsid w:val="00EE12F5"/>
    <w:rsid w:val="00EF4F41"/>
    <w:rsid w:val="00EF6484"/>
    <w:rsid w:val="00EF6D73"/>
    <w:rsid w:val="00F141E1"/>
    <w:rsid w:val="00F15763"/>
    <w:rsid w:val="00F2492B"/>
    <w:rsid w:val="00F30599"/>
    <w:rsid w:val="00F315BF"/>
    <w:rsid w:val="00F319CF"/>
    <w:rsid w:val="00F43D16"/>
    <w:rsid w:val="00F4509F"/>
    <w:rsid w:val="00F50FAF"/>
    <w:rsid w:val="00F561B3"/>
    <w:rsid w:val="00F869A2"/>
    <w:rsid w:val="00F97717"/>
    <w:rsid w:val="00F97C8C"/>
    <w:rsid w:val="00FA3BBB"/>
    <w:rsid w:val="00FA6A61"/>
    <w:rsid w:val="00FB45C1"/>
    <w:rsid w:val="00FB6A4D"/>
    <w:rsid w:val="00FC2EA2"/>
    <w:rsid w:val="00FC515A"/>
    <w:rsid w:val="00FE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CE"/>
    <w:rPr>
      <w:color w:val="0000FF" w:themeColor="hyperlink"/>
      <w:u w:val="single"/>
    </w:rPr>
  </w:style>
  <w:style w:type="paragraph" w:styleId="BalloonText">
    <w:name w:val="Balloon Text"/>
    <w:basedOn w:val="Normal"/>
    <w:link w:val="BalloonTextChar"/>
    <w:uiPriority w:val="99"/>
    <w:semiHidden/>
    <w:unhideWhenUsed/>
    <w:rsid w:val="00BA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74"/>
    <w:rPr>
      <w:rFonts w:ascii="Tahoma" w:hAnsi="Tahoma" w:cs="Tahoma"/>
      <w:sz w:val="16"/>
      <w:szCs w:val="16"/>
    </w:rPr>
  </w:style>
  <w:style w:type="character" w:customStyle="1" w:styleId="apple-style-span">
    <w:name w:val="apple-style-span"/>
    <w:basedOn w:val="DefaultParagraphFont"/>
    <w:rsid w:val="00F97717"/>
  </w:style>
  <w:style w:type="character" w:customStyle="1" w:styleId="apple-converted-space">
    <w:name w:val="apple-converted-space"/>
    <w:basedOn w:val="DefaultParagraphFont"/>
    <w:rsid w:val="00F97717"/>
  </w:style>
  <w:style w:type="paragraph" w:styleId="BodyText">
    <w:name w:val="Body Text"/>
    <w:basedOn w:val="Normal"/>
    <w:link w:val="BodyTextChar"/>
    <w:rsid w:val="0055028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550280"/>
    <w:rPr>
      <w:rFonts w:ascii="Arial" w:eastAsia="Times New Roman" w:hAnsi="Arial" w:cs="Times New Roman"/>
      <w:sz w:val="24"/>
      <w:szCs w:val="20"/>
    </w:rPr>
  </w:style>
  <w:style w:type="paragraph" w:styleId="Title">
    <w:name w:val="Title"/>
    <w:basedOn w:val="Normal"/>
    <w:link w:val="TitleChar"/>
    <w:qFormat/>
    <w:rsid w:val="00550280"/>
    <w:pPr>
      <w:spacing w:after="0" w:line="24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550280"/>
    <w:rPr>
      <w:rFonts w:ascii="Arial" w:eastAsia="Times New Roman" w:hAnsi="Arial" w:cs="Times New Roman"/>
      <w:b/>
      <w:sz w:val="24"/>
      <w:szCs w:val="20"/>
    </w:rPr>
  </w:style>
  <w:style w:type="paragraph" w:styleId="ListParagraph">
    <w:name w:val="List Paragraph"/>
    <w:basedOn w:val="Normal"/>
    <w:uiPriority w:val="34"/>
    <w:qFormat/>
    <w:rsid w:val="00053969"/>
    <w:pPr>
      <w:ind w:left="720"/>
      <w:contextualSpacing/>
    </w:pPr>
  </w:style>
  <w:style w:type="paragraph" w:styleId="BodyText2">
    <w:name w:val="Body Text 2"/>
    <w:basedOn w:val="Normal"/>
    <w:link w:val="BodyText2Char"/>
    <w:uiPriority w:val="99"/>
    <w:semiHidden/>
    <w:unhideWhenUsed/>
    <w:rsid w:val="00767841"/>
    <w:pPr>
      <w:spacing w:after="120" w:line="480" w:lineRule="auto"/>
    </w:pPr>
  </w:style>
  <w:style w:type="character" w:customStyle="1" w:styleId="BodyText2Char">
    <w:name w:val="Body Text 2 Char"/>
    <w:basedOn w:val="DefaultParagraphFont"/>
    <w:link w:val="BodyText2"/>
    <w:uiPriority w:val="99"/>
    <w:semiHidden/>
    <w:rsid w:val="00767841"/>
  </w:style>
  <w:style w:type="paragraph" w:styleId="NormalWeb">
    <w:name w:val="Normal (Web)"/>
    <w:basedOn w:val="Normal"/>
    <w:semiHidden/>
    <w:rsid w:val="00A972F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Revision">
    <w:name w:val="Revision"/>
    <w:hidden/>
    <w:uiPriority w:val="99"/>
    <w:semiHidden/>
    <w:rsid w:val="00FE4E1E"/>
    <w:pPr>
      <w:spacing w:after="0" w:line="240" w:lineRule="auto"/>
    </w:pPr>
  </w:style>
  <w:style w:type="paragraph" w:styleId="BodyTextIndent">
    <w:name w:val="Body Text Indent"/>
    <w:basedOn w:val="Normal"/>
    <w:link w:val="BodyTextIndentChar"/>
    <w:uiPriority w:val="99"/>
    <w:unhideWhenUsed/>
    <w:rsid w:val="00B61680"/>
    <w:pPr>
      <w:spacing w:after="120"/>
      <w:ind w:left="360"/>
    </w:pPr>
  </w:style>
  <w:style w:type="character" w:customStyle="1" w:styleId="BodyTextIndentChar">
    <w:name w:val="Body Text Indent Char"/>
    <w:basedOn w:val="DefaultParagraphFont"/>
    <w:link w:val="BodyTextIndent"/>
    <w:uiPriority w:val="99"/>
    <w:rsid w:val="00B61680"/>
  </w:style>
  <w:style w:type="paragraph" w:styleId="Header">
    <w:name w:val="header"/>
    <w:basedOn w:val="Normal"/>
    <w:link w:val="HeaderChar"/>
    <w:uiPriority w:val="99"/>
    <w:unhideWhenUsed/>
    <w:rsid w:val="00DB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A0E"/>
  </w:style>
  <w:style w:type="paragraph" w:styleId="Footer">
    <w:name w:val="footer"/>
    <w:basedOn w:val="Normal"/>
    <w:link w:val="FooterChar"/>
    <w:uiPriority w:val="99"/>
    <w:unhideWhenUsed/>
    <w:rsid w:val="00DB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CE"/>
    <w:rPr>
      <w:color w:val="0000FF" w:themeColor="hyperlink"/>
      <w:u w:val="single"/>
    </w:rPr>
  </w:style>
  <w:style w:type="paragraph" w:styleId="BalloonText">
    <w:name w:val="Balloon Text"/>
    <w:basedOn w:val="Normal"/>
    <w:link w:val="BalloonTextChar"/>
    <w:uiPriority w:val="99"/>
    <w:semiHidden/>
    <w:unhideWhenUsed/>
    <w:rsid w:val="00BA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74"/>
    <w:rPr>
      <w:rFonts w:ascii="Tahoma" w:hAnsi="Tahoma" w:cs="Tahoma"/>
      <w:sz w:val="16"/>
      <w:szCs w:val="16"/>
    </w:rPr>
  </w:style>
  <w:style w:type="character" w:customStyle="1" w:styleId="apple-style-span">
    <w:name w:val="apple-style-span"/>
    <w:basedOn w:val="DefaultParagraphFont"/>
    <w:rsid w:val="00F97717"/>
  </w:style>
  <w:style w:type="character" w:customStyle="1" w:styleId="apple-converted-space">
    <w:name w:val="apple-converted-space"/>
    <w:basedOn w:val="DefaultParagraphFont"/>
    <w:rsid w:val="00F97717"/>
  </w:style>
  <w:style w:type="paragraph" w:styleId="BodyText">
    <w:name w:val="Body Text"/>
    <w:basedOn w:val="Normal"/>
    <w:link w:val="BodyTextChar"/>
    <w:rsid w:val="0055028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550280"/>
    <w:rPr>
      <w:rFonts w:ascii="Arial" w:eastAsia="Times New Roman" w:hAnsi="Arial" w:cs="Times New Roman"/>
      <w:sz w:val="24"/>
      <w:szCs w:val="20"/>
    </w:rPr>
  </w:style>
  <w:style w:type="paragraph" w:styleId="Title">
    <w:name w:val="Title"/>
    <w:basedOn w:val="Normal"/>
    <w:link w:val="TitleChar"/>
    <w:qFormat/>
    <w:rsid w:val="00550280"/>
    <w:pPr>
      <w:spacing w:after="0" w:line="24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550280"/>
    <w:rPr>
      <w:rFonts w:ascii="Arial" w:eastAsia="Times New Roman" w:hAnsi="Arial" w:cs="Times New Roman"/>
      <w:b/>
      <w:sz w:val="24"/>
      <w:szCs w:val="20"/>
    </w:rPr>
  </w:style>
  <w:style w:type="paragraph" w:styleId="ListParagraph">
    <w:name w:val="List Paragraph"/>
    <w:basedOn w:val="Normal"/>
    <w:uiPriority w:val="34"/>
    <w:qFormat/>
    <w:rsid w:val="00053969"/>
    <w:pPr>
      <w:ind w:left="720"/>
      <w:contextualSpacing/>
    </w:pPr>
  </w:style>
  <w:style w:type="paragraph" w:styleId="BodyText2">
    <w:name w:val="Body Text 2"/>
    <w:basedOn w:val="Normal"/>
    <w:link w:val="BodyText2Char"/>
    <w:uiPriority w:val="99"/>
    <w:semiHidden/>
    <w:unhideWhenUsed/>
    <w:rsid w:val="00767841"/>
    <w:pPr>
      <w:spacing w:after="120" w:line="480" w:lineRule="auto"/>
    </w:pPr>
  </w:style>
  <w:style w:type="character" w:customStyle="1" w:styleId="BodyText2Char">
    <w:name w:val="Body Text 2 Char"/>
    <w:basedOn w:val="DefaultParagraphFont"/>
    <w:link w:val="BodyText2"/>
    <w:uiPriority w:val="99"/>
    <w:semiHidden/>
    <w:rsid w:val="00767841"/>
  </w:style>
  <w:style w:type="paragraph" w:styleId="NormalWeb">
    <w:name w:val="Normal (Web)"/>
    <w:basedOn w:val="Normal"/>
    <w:semiHidden/>
    <w:rsid w:val="00A972F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Revision">
    <w:name w:val="Revision"/>
    <w:hidden/>
    <w:uiPriority w:val="99"/>
    <w:semiHidden/>
    <w:rsid w:val="00FE4E1E"/>
    <w:pPr>
      <w:spacing w:after="0" w:line="240" w:lineRule="auto"/>
    </w:pPr>
  </w:style>
  <w:style w:type="paragraph" w:styleId="BodyTextIndent">
    <w:name w:val="Body Text Indent"/>
    <w:basedOn w:val="Normal"/>
    <w:link w:val="BodyTextIndentChar"/>
    <w:uiPriority w:val="99"/>
    <w:unhideWhenUsed/>
    <w:rsid w:val="00B61680"/>
    <w:pPr>
      <w:spacing w:after="120"/>
      <w:ind w:left="360"/>
    </w:pPr>
  </w:style>
  <w:style w:type="character" w:customStyle="1" w:styleId="BodyTextIndentChar">
    <w:name w:val="Body Text Indent Char"/>
    <w:basedOn w:val="DefaultParagraphFont"/>
    <w:link w:val="BodyTextIndent"/>
    <w:uiPriority w:val="99"/>
    <w:rsid w:val="00B61680"/>
  </w:style>
  <w:style w:type="paragraph" w:styleId="Header">
    <w:name w:val="header"/>
    <w:basedOn w:val="Normal"/>
    <w:link w:val="HeaderChar"/>
    <w:uiPriority w:val="99"/>
    <w:unhideWhenUsed/>
    <w:rsid w:val="00DB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A0E"/>
  </w:style>
  <w:style w:type="paragraph" w:styleId="Footer">
    <w:name w:val="footer"/>
    <w:basedOn w:val="Normal"/>
    <w:link w:val="FooterChar"/>
    <w:uiPriority w:val="99"/>
    <w:unhideWhenUsed/>
    <w:rsid w:val="00DB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655">
      <w:bodyDiv w:val="1"/>
      <w:marLeft w:val="0"/>
      <w:marRight w:val="0"/>
      <w:marTop w:val="0"/>
      <w:marBottom w:val="0"/>
      <w:divBdr>
        <w:top w:val="none" w:sz="0" w:space="0" w:color="auto"/>
        <w:left w:val="none" w:sz="0" w:space="0" w:color="auto"/>
        <w:bottom w:val="none" w:sz="0" w:space="0" w:color="auto"/>
        <w:right w:val="none" w:sz="0" w:space="0" w:color="auto"/>
      </w:divBdr>
    </w:div>
    <w:div w:id="888300504">
      <w:bodyDiv w:val="1"/>
      <w:marLeft w:val="0"/>
      <w:marRight w:val="0"/>
      <w:marTop w:val="0"/>
      <w:marBottom w:val="0"/>
      <w:divBdr>
        <w:top w:val="none" w:sz="0" w:space="0" w:color="auto"/>
        <w:left w:val="none" w:sz="0" w:space="0" w:color="auto"/>
        <w:bottom w:val="none" w:sz="0" w:space="0" w:color="auto"/>
        <w:right w:val="none" w:sz="0" w:space="0" w:color="auto"/>
      </w:divBdr>
    </w:div>
    <w:div w:id="967395105">
      <w:bodyDiv w:val="1"/>
      <w:marLeft w:val="0"/>
      <w:marRight w:val="0"/>
      <w:marTop w:val="0"/>
      <w:marBottom w:val="0"/>
      <w:divBdr>
        <w:top w:val="none" w:sz="0" w:space="0" w:color="auto"/>
        <w:left w:val="none" w:sz="0" w:space="0" w:color="auto"/>
        <w:bottom w:val="none" w:sz="0" w:space="0" w:color="auto"/>
        <w:right w:val="none" w:sz="0" w:space="0" w:color="auto"/>
      </w:divBdr>
    </w:div>
    <w:div w:id="20325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ingmarket.org" TargetMode="External"/><Relationship Id="rId5" Type="http://schemas.openxmlformats.org/officeDocument/2006/relationships/webSettings" Target="webSettings.xml"/><Relationship Id="rId10" Type="http://schemas.openxmlformats.org/officeDocument/2006/relationships/hyperlink" Target="mailto:Dahlberg@andromeda.rutgers.edu" TargetMode="External"/><Relationship Id="rId4" Type="http://schemas.openxmlformats.org/officeDocument/2006/relationships/settings" Target="settings.xml"/><Relationship Id="rId9" Type="http://schemas.openxmlformats.org/officeDocument/2006/relationships/hyperlink" Target="http://raw.rutgers.edu/10frau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Acct</dc:creator>
  <cp:lastModifiedBy>Karl Dahlberg</cp:lastModifiedBy>
  <cp:revision>2</cp:revision>
  <cp:lastPrinted>2015-05-21T15:49:00Z</cp:lastPrinted>
  <dcterms:created xsi:type="dcterms:W3CDTF">2015-05-22T16:30:00Z</dcterms:created>
  <dcterms:modified xsi:type="dcterms:W3CDTF">2015-05-22T16:30:00Z</dcterms:modified>
</cp:coreProperties>
</file>